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02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7"/>
        <w:gridCol w:w="5499"/>
      </w:tblGrid>
      <w:tr w:rsidR="00866186" w:rsidRPr="00880FB2" w:rsidTr="00866186">
        <w:tc>
          <w:tcPr>
            <w:tcW w:w="5000" w:type="pct"/>
            <w:gridSpan w:val="2"/>
            <w:shd w:val="clear" w:color="auto" w:fill="auto"/>
          </w:tcPr>
          <w:p w:rsidR="00866186" w:rsidRPr="00866186" w:rsidRDefault="00866186" w:rsidP="00866186">
            <w:pPr>
              <w:contextualSpacing/>
              <w:jc w:val="center"/>
              <w:rPr>
                <w:rFonts w:ascii="Arial" w:hAnsi="Arial" w:cs="Arial"/>
                <w:b/>
                <w:sz w:val="32"/>
                <w:szCs w:val="20"/>
              </w:rPr>
            </w:pPr>
          </w:p>
          <w:p w:rsidR="00866186" w:rsidRPr="00866186" w:rsidRDefault="00866186" w:rsidP="00866186">
            <w:pPr>
              <w:contextualSpacing/>
              <w:jc w:val="center"/>
              <w:rPr>
                <w:rFonts w:ascii="Arial" w:hAnsi="Arial" w:cs="Arial"/>
                <w:b/>
                <w:sz w:val="32"/>
                <w:szCs w:val="20"/>
              </w:rPr>
            </w:pPr>
            <w:r w:rsidRPr="00866186">
              <w:rPr>
                <w:rFonts w:ascii="Arial" w:hAnsi="Arial" w:cs="Arial"/>
                <w:b/>
                <w:sz w:val="32"/>
                <w:szCs w:val="20"/>
              </w:rPr>
              <w:t>TABLEAU 2</w:t>
            </w:r>
          </w:p>
          <w:p w:rsidR="00866186" w:rsidRPr="00866186" w:rsidRDefault="00866186" w:rsidP="00866186">
            <w:pPr>
              <w:contextualSpacing/>
              <w:jc w:val="center"/>
              <w:rPr>
                <w:rFonts w:ascii="Arial" w:hAnsi="Arial" w:cs="Arial"/>
                <w:b/>
                <w:sz w:val="32"/>
                <w:szCs w:val="20"/>
              </w:rPr>
            </w:pPr>
          </w:p>
          <w:p w:rsidR="00866186" w:rsidRPr="00866186" w:rsidRDefault="00866186" w:rsidP="00866186">
            <w:pPr>
              <w:contextualSpacing/>
              <w:jc w:val="center"/>
              <w:rPr>
                <w:rFonts w:ascii="Arial" w:hAnsi="Arial" w:cs="Arial"/>
                <w:b/>
                <w:sz w:val="32"/>
                <w:szCs w:val="20"/>
              </w:rPr>
            </w:pPr>
            <w:r w:rsidRPr="00866186">
              <w:rPr>
                <w:rFonts w:ascii="Arial" w:hAnsi="Arial" w:cs="Arial"/>
                <w:b/>
                <w:sz w:val="32"/>
                <w:szCs w:val="20"/>
              </w:rPr>
              <w:t>Étude comparative et chronologique des directives européennes relatives au rapprochement des législations des États membres concernant les solvants d’extraction utilisés dans la fabrication des denrées alimentaires et de leurs ingrédients</w:t>
            </w:r>
          </w:p>
          <w:p w:rsidR="00866186" w:rsidRPr="00866186" w:rsidRDefault="00866186" w:rsidP="00866186">
            <w:pPr>
              <w:contextualSpacing/>
              <w:jc w:val="center"/>
              <w:rPr>
                <w:rFonts w:ascii="Arial" w:hAnsi="Arial" w:cs="Arial"/>
                <w:b/>
                <w:sz w:val="32"/>
                <w:szCs w:val="20"/>
              </w:rPr>
            </w:pPr>
          </w:p>
        </w:tc>
      </w:tr>
      <w:tr w:rsidR="00866186" w:rsidRPr="00880FB2" w:rsidTr="00866186">
        <w:tc>
          <w:tcPr>
            <w:tcW w:w="2481" w:type="pct"/>
            <w:shd w:val="clear" w:color="auto" w:fill="auto"/>
          </w:tcPr>
          <w:p w:rsidR="00866186" w:rsidRDefault="00866186" w:rsidP="00C27B67">
            <w:pPr>
              <w:contextualSpacing/>
              <w:jc w:val="center"/>
              <w:rPr>
                <w:rFonts w:ascii="Arial" w:hAnsi="Arial"/>
                <w:b/>
                <w:sz w:val="20"/>
                <w:szCs w:val="20"/>
              </w:rPr>
            </w:pPr>
          </w:p>
          <w:p w:rsidR="00156EAC" w:rsidRDefault="00156EAC" w:rsidP="00C27B67">
            <w:pPr>
              <w:contextualSpacing/>
              <w:jc w:val="center"/>
              <w:rPr>
                <w:rFonts w:ascii="Arial" w:hAnsi="Arial"/>
                <w:b/>
                <w:sz w:val="20"/>
                <w:szCs w:val="20"/>
              </w:rPr>
            </w:pPr>
            <w:r w:rsidRPr="00491674">
              <w:rPr>
                <w:rFonts w:ascii="Arial" w:hAnsi="Arial"/>
                <w:b/>
                <w:sz w:val="20"/>
                <w:szCs w:val="20"/>
              </w:rPr>
              <w:t>RÉFÉRENCES ET EXTRAITS DES DIRECTIVES</w:t>
            </w:r>
          </w:p>
          <w:p w:rsidR="00866186" w:rsidRPr="00491674" w:rsidRDefault="00866186" w:rsidP="00C27B67">
            <w:pPr>
              <w:contextualSpacing/>
              <w:jc w:val="center"/>
              <w:rPr>
                <w:rFonts w:ascii="Arial" w:hAnsi="Arial"/>
                <w:b/>
                <w:sz w:val="20"/>
                <w:szCs w:val="20"/>
              </w:rPr>
            </w:pPr>
          </w:p>
        </w:tc>
        <w:tc>
          <w:tcPr>
            <w:tcW w:w="2519" w:type="pct"/>
            <w:shd w:val="clear" w:color="auto" w:fill="auto"/>
          </w:tcPr>
          <w:p w:rsidR="00866186" w:rsidRDefault="00866186" w:rsidP="00C27B67">
            <w:pPr>
              <w:contextualSpacing/>
              <w:jc w:val="center"/>
              <w:rPr>
                <w:rFonts w:ascii="Arial" w:hAnsi="Arial" w:cs="Arial"/>
                <w:b/>
                <w:sz w:val="20"/>
                <w:szCs w:val="20"/>
              </w:rPr>
            </w:pPr>
          </w:p>
          <w:p w:rsidR="00156EAC" w:rsidRPr="00491674" w:rsidRDefault="00156EAC" w:rsidP="00C27B67">
            <w:pPr>
              <w:contextualSpacing/>
              <w:jc w:val="center"/>
              <w:rPr>
                <w:rFonts w:ascii="Arial" w:hAnsi="Arial" w:cs="Arial"/>
                <w:b/>
                <w:sz w:val="20"/>
                <w:szCs w:val="20"/>
              </w:rPr>
            </w:pPr>
            <w:r>
              <w:rPr>
                <w:rFonts w:ascii="Arial" w:hAnsi="Arial" w:cs="Arial"/>
                <w:b/>
                <w:sz w:val="20"/>
                <w:szCs w:val="20"/>
              </w:rPr>
              <w:t xml:space="preserve">NOS </w:t>
            </w:r>
            <w:r w:rsidRPr="00491674">
              <w:rPr>
                <w:rFonts w:ascii="Arial" w:hAnsi="Arial" w:cs="Arial"/>
                <w:b/>
                <w:sz w:val="20"/>
                <w:szCs w:val="20"/>
              </w:rPr>
              <w:t>COMMENTAIRES</w:t>
            </w:r>
          </w:p>
        </w:tc>
      </w:tr>
      <w:tr w:rsidR="00866186" w:rsidRPr="00866186" w:rsidTr="00866186">
        <w:trPr>
          <w:trHeight w:val="431"/>
        </w:trPr>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5" w:history="1">
              <w:r w:rsidR="00156EAC" w:rsidRPr="00866186">
                <w:rPr>
                  <w:rStyle w:val="Lienhypertexte"/>
                  <w:rFonts w:asciiTheme="minorHAnsi" w:hAnsiTheme="minorHAnsi" w:cstheme="minorHAnsi"/>
                  <w:b/>
                </w:rPr>
                <w:t>Directive 88/344/CEE </w:t>
              </w:r>
            </w:hyperlink>
            <w:r w:rsidR="00156EAC" w:rsidRPr="00866186">
              <w:rPr>
                <w:rFonts w:asciiTheme="minorHAnsi" w:hAnsiTheme="minorHAnsi" w:cstheme="minorHAnsi"/>
              </w:rPr>
              <w:t>(6 pages)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Directive initiale</w:t>
            </w:r>
          </w:p>
        </w:tc>
      </w:tr>
      <w:tr w:rsidR="00866186" w:rsidRPr="00866186" w:rsidTr="00866186">
        <w:trPr>
          <w:trHeight w:val="424"/>
        </w:trPr>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6" w:history="1">
              <w:r w:rsidR="00156EAC" w:rsidRPr="00866186">
                <w:rPr>
                  <w:rStyle w:val="Lienhypertexte"/>
                  <w:rFonts w:asciiTheme="minorHAnsi" w:hAnsiTheme="minorHAnsi" w:cstheme="minorHAnsi"/>
                  <w:b/>
                </w:rPr>
                <w:t>Directive 92/115/CEE </w:t>
              </w:r>
            </w:hyperlink>
            <w:r w:rsidR="00156EAC" w:rsidRPr="00866186">
              <w:rPr>
                <w:rFonts w:asciiTheme="minorHAnsi" w:hAnsiTheme="minorHAnsi" w:cstheme="minorHAnsi"/>
              </w:rPr>
              <w:t>(2 pages)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Modifie la Directive 88/344/CEE</w:t>
            </w:r>
          </w:p>
        </w:tc>
      </w:tr>
      <w:tr w:rsidR="00866186" w:rsidRPr="00866186" w:rsidTr="00866186">
        <w:trPr>
          <w:trHeight w:val="415"/>
        </w:trPr>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7" w:history="1">
              <w:r w:rsidR="00156EAC" w:rsidRPr="00866186">
                <w:rPr>
                  <w:rStyle w:val="Lienhypertexte"/>
                  <w:rFonts w:asciiTheme="minorHAnsi" w:hAnsiTheme="minorHAnsi" w:cstheme="minorHAnsi"/>
                  <w:b/>
                </w:rPr>
                <w:t>Directive 94/52/CE </w:t>
              </w:r>
            </w:hyperlink>
            <w:r w:rsidR="00156EAC" w:rsidRPr="00866186">
              <w:rPr>
                <w:rFonts w:asciiTheme="minorHAnsi" w:hAnsiTheme="minorHAnsi" w:cstheme="minorHAnsi"/>
              </w:rPr>
              <w:t>(1 page)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Modifie la Directive 88/344/CEE</w:t>
            </w:r>
          </w:p>
        </w:tc>
      </w:tr>
      <w:tr w:rsidR="00866186" w:rsidRPr="00866186" w:rsidTr="00866186">
        <w:trPr>
          <w:trHeight w:val="421"/>
        </w:trPr>
        <w:tc>
          <w:tcPr>
            <w:tcW w:w="2481" w:type="pct"/>
            <w:shd w:val="clear" w:color="auto" w:fill="auto"/>
          </w:tcPr>
          <w:p w:rsidR="00156EAC" w:rsidRPr="00866186" w:rsidRDefault="00654988" w:rsidP="00C27B67">
            <w:pPr>
              <w:widowControl w:val="0"/>
              <w:autoSpaceDE w:val="0"/>
              <w:autoSpaceDN w:val="0"/>
              <w:adjustRightInd w:val="0"/>
              <w:jc w:val="both"/>
              <w:rPr>
                <w:rFonts w:asciiTheme="minorHAnsi" w:hAnsiTheme="minorHAnsi" w:cstheme="minorHAnsi"/>
                <w:i/>
              </w:rPr>
            </w:pPr>
            <w:hyperlink r:id="rId8" w:history="1">
              <w:r w:rsidR="00156EAC" w:rsidRPr="00866186">
                <w:rPr>
                  <w:rStyle w:val="Lienhypertexte"/>
                  <w:rFonts w:asciiTheme="minorHAnsi" w:hAnsiTheme="minorHAnsi" w:cstheme="minorHAnsi"/>
                  <w:b/>
                </w:rPr>
                <w:t>Directive 97/60/CE </w:t>
              </w:r>
            </w:hyperlink>
            <w:r w:rsidR="00156EAC" w:rsidRPr="00866186">
              <w:rPr>
                <w:rFonts w:asciiTheme="minorHAnsi" w:hAnsiTheme="minorHAnsi" w:cstheme="minorHAnsi"/>
              </w:rPr>
              <w:t>(3 pages)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Modifie la Directive 88/344/CEE</w:t>
            </w:r>
          </w:p>
        </w:tc>
      </w:tr>
      <w:tr w:rsidR="00866186" w:rsidRPr="00866186" w:rsidTr="00866186">
        <w:tc>
          <w:tcPr>
            <w:tcW w:w="2481" w:type="pct"/>
            <w:shd w:val="clear" w:color="auto" w:fill="auto"/>
          </w:tcPr>
          <w:p w:rsidR="00156EAC" w:rsidRPr="00866186" w:rsidRDefault="00156EAC" w:rsidP="00C27B67">
            <w:pPr>
              <w:widowControl w:val="0"/>
              <w:autoSpaceDE w:val="0"/>
              <w:autoSpaceDN w:val="0"/>
              <w:adjustRightInd w:val="0"/>
              <w:jc w:val="both"/>
              <w:rPr>
                <w:rFonts w:asciiTheme="minorHAnsi" w:hAnsiTheme="minorHAnsi" w:cstheme="minorHAnsi"/>
                <w:i/>
              </w:rPr>
            </w:pPr>
            <w:proofErr w:type="gramStart"/>
            <w:r w:rsidRPr="00866186">
              <w:rPr>
                <w:rFonts w:asciiTheme="minorHAnsi" w:hAnsiTheme="minorHAnsi" w:cstheme="minorHAnsi"/>
                <w:i/>
              </w:rPr>
              <w:t>considérant</w:t>
            </w:r>
            <w:proofErr w:type="gramEnd"/>
            <w:r w:rsidRPr="00866186">
              <w:rPr>
                <w:rFonts w:asciiTheme="minorHAnsi" w:hAnsiTheme="minorHAnsi" w:cstheme="minorHAnsi"/>
                <w:i/>
              </w:rPr>
              <w:t xml:space="preserve"> que le comité scientifique pour l'alimentation humaine a procédé à un réexamen de tous les solvants d'extraction figurant dans la directive 88/344/CEE, en vue du remplacement des </w:t>
            </w:r>
            <w:r w:rsidRPr="00866186">
              <w:rPr>
                <w:rFonts w:asciiTheme="minorHAnsi" w:hAnsiTheme="minorHAnsi" w:cstheme="minorHAnsi"/>
                <w:i/>
                <w:u w:val="single"/>
              </w:rPr>
              <w:t>doses journalières acceptables (DJA) provisoires fixées en 1981</w:t>
            </w:r>
            <w:r w:rsidRPr="00866186">
              <w:rPr>
                <w:rFonts w:asciiTheme="minorHAnsi" w:hAnsiTheme="minorHAnsi" w:cstheme="minorHAnsi"/>
                <w:i/>
              </w:rPr>
              <w:t xml:space="preserve"> par des évaluations définitives; que </w:t>
            </w:r>
            <w:r w:rsidRPr="00866186">
              <w:rPr>
                <w:rFonts w:asciiTheme="minorHAnsi" w:hAnsiTheme="minorHAnsi" w:cstheme="minorHAnsi"/>
                <w:i/>
                <w:u w:val="single"/>
              </w:rPr>
              <w:t>cela n'a pas toujours été possible, les informations nécessaires, bien que demandées à l'industrie, n'ayant pas été communiquées</w:t>
            </w: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Autrement dit, les niveaux de résidus avaient été fixés provisoirement en 1981, et seize ans plus tard </w:t>
            </w:r>
            <w:proofErr w:type="gramStart"/>
            <w:r w:rsidRPr="00866186">
              <w:rPr>
                <w:rFonts w:asciiTheme="minorHAnsi" w:hAnsiTheme="minorHAnsi" w:cstheme="minorHAnsi"/>
              </w:rPr>
              <w:t>( !</w:t>
            </w:r>
            <w:proofErr w:type="gramEnd"/>
            <w:r w:rsidR="00866186">
              <w:rPr>
                <w:rFonts w:asciiTheme="minorHAnsi" w:hAnsiTheme="minorHAnsi" w:cstheme="minorHAnsi"/>
              </w:rPr>
              <w:t xml:space="preserve"> </w:t>
            </w:r>
            <w:r w:rsidRPr="00866186">
              <w:rPr>
                <w:rFonts w:asciiTheme="minorHAnsi" w:hAnsiTheme="minorHAnsi" w:cstheme="minorHAnsi"/>
              </w:rPr>
              <w:t>), il faudrait s’étonner de ne toujours pas pouvoir les réviser car la commission comptait sur l’industrie pour lui fournir les informations nécessaires. Informations qui risquaient de l’amener à imposer à cette même industrie des contraintes plus sévères…</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proofErr w:type="gramStart"/>
            <w:r w:rsidRPr="00866186">
              <w:rPr>
                <w:rFonts w:asciiTheme="minorHAnsi" w:hAnsiTheme="minorHAnsi" w:cstheme="minorHAnsi"/>
                <w:i/>
              </w:rPr>
              <w:t>que</w:t>
            </w:r>
            <w:proofErr w:type="gramEnd"/>
            <w:r w:rsidRPr="00866186">
              <w:rPr>
                <w:rFonts w:asciiTheme="minorHAnsi" w:hAnsiTheme="minorHAnsi" w:cstheme="minorHAnsi"/>
                <w:i/>
              </w:rPr>
              <w:t>, sur la base des informations reçues, le comité scientifique pour l'alimentation humaine a pu confirmer son accord pour la majorité des solvants;</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Comprendre plutôt qu’à défaut de nouvelles informations, on ne change rien.</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proofErr w:type="gramStart"/>
            <w:r w:rsidRPr="00866186">
              <w:rPr>
                <w:rFonts w:asciiTheme="minorHAnsi" w:hAnsiTheme="minorHAnsi" w:cstheme="minorHAnsi"/>
                <w:i/>
              </w:rPr>
              <w:t>que</w:t>
            </w:r>
            <w:proofErr w:type="gramEnd"/>
            <w:r w:rsidRPr="00866186">
              <w:rPr>
                <w:rFonts w:asciiTheme="minorHAnsi" w:hAnsiTheme="minorHAnsi" w:cstheme="minorHAnsi"/>
                <w:i/>
              </w:rPr>
              <w:t xml:space="preserve"> les résidus maximaux des solvants dans certaines denrées alimentaires peuvent être diminués;</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Seuls deux solvants, </w:t>
            </w:r>
            <w:r w:rsidRPr="00866186">
              <w:rPr>
                <w:rFonts w:asciiTheme="minorHAnsi" w:hAnsiTheme="minorHAnsi" w:cstheme="minorHAnsi"/>
                <w:b/>
              </w:rPr>
              <w:t>l’hexane</w:t>
            </w:r>
            <w:r w:rsidRPr="00866186">
              <w:rPr>
                <w:rFonts w:asciiTheme="minorHAnsi" w:hAnsiTheme="minorHAnsi" w:cstheme="minorHAnsi"/>
              </w:rPr>
              <w:t xml:space="preserve"> </w:t>
            </w:r>
            <w:r w:rsidRPr="00866186">
              <w:rPr>
                <w:rFonts w:asciiTheme="minorHAnsi" w:hAnsiTheme="minorHAnsi" w:cstheme="minorHAnsi"/>
                <w:b/>
              </w:rPr>
              <w:t xml:space="preserve">(de 5 à 1mg/Kg dans les </w:t>
            </w:r>
            <w:r w:rsidRPr="00866186">
              <w:rPr>
                <w:rFonts w:asciiTheme="minorHAnsi" w:hAnsiTheme="minorHAnsi" w:cstheme="minorHAnsi"/>
              </w:rPr>
              <w:t>graisses,</w:t>
            </w:r>
            <w:r w:rsidRPr="00866186">
              <w:rPr>
                <w:rFonts w:asciiTheme="minorHAnsi" w:hAnsiTheme="minorHAnsi" w:cstheme="minorHAnsi"/>
                <w:b/>
              </w:rPr>
              <w:t xml:space="preserve"> huiles </w:t>
            </w:r>
            <w:r w:rsidRPr="00866186">
              <w:rPr>
                <w:rFonts w:asciiTheme="minorHAnsi" w:hAnsiTheme="minorHAnsi" w:cstheme="minorHAnsi"/>
              </w:rPr>
              <w:t>et beurre de cacao</w:t>
            </w:r>
            <w:r w:rsidRPr="00866186">
              <w:rPr>
                <w:rFonts w:asciiTheme="minorHAnsi" w:hAnsiTheme="minorHAnsi" w:cstheme="minorHAnsi"/>
                <w:b/>
              </w:rPr>
              <w:t>)</w:t>
            </w:r>
            <w:r w:rsidRPr="00866186">
              <w:rPr>
                <w:rFonts w:asciiTheme="minorHAnsi" w:hAnsiTheme="minorHAnsi" w:cstheme="minorHAnsi"/>
              </w:rPr>
              <w:t>, et le Dichlorométhane ont vu leurs taux diminués.</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proofErr w:type="gramStart"/>
            <w:r w:rsidRPr="00866186">
              <w:rPr>
                <w:rFonts w:asciiTheme="minorHAnsi" w:hAnsiTheme="minorHAnsi" w:cstheme="minorHAnsi"/>
                <w:i/>
              </w:rPr>
              <w:t>considérant</w:t>
            </w:r>
            <w:proofErr w:type="gramEnd"/>
            <w:r w:rsidRPr="00866186">
              <w:rPr>
                <w:rFonts w:asciiTheme="minorHAnsi" w:hAnsiTheme="minorHAnsi" w:cstheme="minorHAnsi"/>
                <w:i/>
              </w:rPr>
              <w:t xml:space="preserve"> que certains solvants ne sont plus utilisés et qu'il convient donc de les supprimer</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On ne les supprime pas parce qu’ils sont reconnus comme dangereux…</w:t>
            </w:r>
          </w:p>
        </w:tc>
      </w:tr>
      <w:tr w:rsidR="00866186" w:rsidRPr="00866186" w:rsidTr="00866186">
        <w:tc>
          <w:tcPr>
            <w:tcW w:w="2481" w:type="pct"/>
            <w:shd w:val="clear" w:color="auto" w:fill="auto"/>
          </w:tcPr>
          <w:p w:rsidR="00156EAC" w:rsidRPr="00866186" w:rsidRDefault="00156EAC" w:rsidP="00C27B67">
            <w:pPr>
              <w:widowControl w:val="0"/>
              <w:autoSpaceDE w:val="0"/>
              <w:autoSpaceDN w:val="0"/>
              <w:adjustRightInd w:val="0"/>
              <w:jc w:val="both"/>
              <w:rPr>
                <w:rFonts w:asciiTheme="minorHAnsi" w:hAnsiTheme="minorHAnsi" w:cstheme="minorHAnsi"/>
                <w:i/>
              </w:rPr>
            </w:pPr>
            <w:proofErr w:type="gramStart"/>
            <w:r w:rsidRPr="00866186">
              <w:rPr>
                <w:rFonts w:asciiTheme="minorHAnsi" w:hAnsiTheme="minorHAnsi" w:cstheme="minorHAnsi"/>
                <w:i/>
              </w:rPr>
              <w:t>considérant</w:t>
            </w:r>
            <w:proofErr w:type="gramEnd"/>
            <w:r w:rsidRPr="00866186">
              <w:rPr>
                <w:rFonts w:asciiTheme="minorHAnsi" w:hAnsiTheme="minorHAnsi" w:cstheme="minorHAnsi"/>
                <w:i/>
              </w:rPr>
              <w:t xml:space="preserve"> que le progrès scientifique crée d'autres substances pouvant être ajoutées à la directive en question; qu'il y a lieu d'autoriser un nouveau solvant, qui bénéficie d'un avis favorable du comité scientifique;</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Les progrès scientifiques évoqués sont ceux de la chimie industrielle, pas de la santé. Il s’agit donc d’entériner les nouveaux procédés industriels développés en chemin.</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 xml:space="preserve">(…) considérant qu'une telle procédure permet une mise sur le marché plus rapide des innovations, </w:t>
            </w:r>
            <w:r w:rsidRPr="00866186">
              <w:rPr>
                <w:rFonts w:asciiTheme="minorHAnsi" w:hAnsiTheme="minorHAnsi" w:cstheme="minorHAnsi"/>
                <w:i/>
                <w:u w:val="single"/>
              </w:rPr>
              <w:t>ce qui constitue un bénéfice tant pour l'industrie que pour le consommateur</w:t>
            </w: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Comprendre « ce qui bénéficie avant tout à l’industrie », car quel pourraient bien être les bénéfices pour le consommateur de trouver de nouveaux produits chimiques dans son assiette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Article 2 (…)</w:t>
            </w:r>
          </w:p>
        </w:tc>
        <w:tc>
          <w:tcPr>
            <w:tcW w:w="2519" w:type="pct"/>
            <w:shd w:val="clear" w:color="auto" w:fill="auto"/>
          </w:tcPr>
          <w:p w:rsidR="00156EAC" w:rsidRPr="00866186" w:rsidRDefault="00156EAC" w:rsidP="00C27B67">
            <w:pPr>
              <w:contextualSpacing/>
              <w:jc w:val="both"/>
              <w:rPr>
                <w:rFonts w:asciiTheme="minorHAnsi" w:hAnsiTheme="minorHAnsi" w:cstheme="minorHAnsi"/>
                <w:u w:val="single"/>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b/>
                <w:i/>
                <w:color w:val="19161A"/>
                <w:u w:val="single"/>
              </w:rPr>
            </w:pPr>
            <w:proofErr w:type="gramStart"/>
            <w:r w:rsidRPr="00866186">
              <w:rPr>
                <w:rFonts w:asciiTheme="minorHAnsi" w:hAnsiTheme="minorHAnsi" w:cstheme="minorHAnsi"/>
                <w:i/>
                <w:color w:val="19161A"/>
              </w:rPr>
              <w:t>interdire</w:t>
            </w:r>
            <w:proofErr w:type="gramEnd"/>
            <w:r w:rsidRPr="00866186">
              <w:rPr>
                <w:rFonts w:asciiTheme="minorHAnsi" w:hAnsiTheme="minorHAnsi" w:cstheme="minorHAnsi"/>
                <w:i/>
                <w:color w:val="19161A"/>
              </w:rPr>
              <w:t xml:space="preserve"> la commercialisation des produits non conformes à la directive 88/344/CEE, telle que modifiée par la présente directive, à partir du 27 avril 1999. Toutefois,</w:t>
            </w:r>
            <w:r w:rsidRPr="00866186">
              <w:rPr>
                <w:rFonts w:asciiTheme="minorHAnsi" w:hAnsiTheme="minorHAnsi" w:cstheme="minorHAnsi"/>
                <w:i/>
                <w:color w:val="19161A"/>
                <w:u w:val="single"/>
              </w:rPr>
              <w:t xml:space="preserve"> les produits mis sur le marché ou étiquetés avant cette date et non conformes à la directive 88/344/CEE</w:t>
            </w:r>
            <w:r w:rsidRPr="00866186">
              <w:rPr>
                <w:rFonts w:asciiTheme="minorHAnsi" w:hAnsiTheme="minorHAnsi" w:cstheme="minorHAnsi"/>
                <w:i/>
                <w:color w:val="19161A"/>
              </w:rPr>
              <w:t xml:space="preserve">, telle que modifiée par la </w:t>
            </w:r>
            <w:r w:rsidRPr="00866186">
              <w:rPr>
                <w:rFonts w:asciiTheme="minorHAnsi" w:hAnsiTheme="minorHAnsi" w:cstheme="minorHAnsi"/>
                <w:i/>
                <w:color w:val="19161A"/>
              </w:rPr>
              <w:lastRenderedPageBreak/>
              <w:t>présente directive,</w:t>
            </w:r>
            <w:r w:rsidRPr="00866186">
              <w:rPr>
                <w:rFonts w:asciiTheme="minorHAnsi" w:hAnsiTheme="minorHAnsi" w:cstheme="minorHAnsi"/>
                <w:i/>
                <w:color w:val="19161A"/>
                <w:u w:val="single"/>
              </w:rPr>
              <w:t xml:space="preserve"> peuvent être commercialisés jusqu'à épuisement des stocks.</w:t>
            </w: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i/>
                <w:color w:val="19161A"/>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lastRenderedPageBreak/>
              <w:t>Si on peut continuer à écouler les produits conformes à la directive de 1988, c’est qu’ils ne doivent pas être dangereux. Alors dans cette hypothèse, pourquoi avoir jugé nécessaire de modifier cette directive</w:t>
            </w:r>
            <w:r w:rsidR="00866186">
              <w:rPr>
                <w:rFonts w:asciiTheme="minorHAnsi" w:hAnsiTheme="minorHAnsi" w:cstheme="minorHAnsi"/>
              </w:rPr>
              <w:t xml:space="preserve"> </w:t>
            </w:r>
            <w:r w:rsidRPr="00866186">
              <w:rPr>
                <w:rFonts w:asciiTheme="minorHAnsi" w:hAnsiTheme="minorHAnsi" w:cstheme="minorHAnsi"/>
              </w:rPr>
              <w:t>?</w:t>
            </w:r>
          </w:p>
          <w:p w:rsidR="00156EAC" w:rsidRPr="00866186" w:rsidRDefault="00156EAC" w:rsidP="00C27B67">
            <w:pPr>
              <w:contextualSpacing/>
              <w:jc w:val="both"/>
              <w:rPr>
                <w:rFonts w:asciiTheme="minorHAnsi" w:hAnsiTheme="minorHAnsi" w:cstheme="minorHAnsi"/>
              </w:rPr>
            </w:pPr>
          </w:p>
          <w:p w:rsidR="00156EAC" w:rsidRPr="00866186" w:rsidRDefault="00866186" w:rsidP="00C27B67">
            <w:pPr>
              <w:contextualSpacing/>
              <w:jc w:val="both"/>
              <w:rPr>
                <w:rFonts w:asciiTheme="minorHAnsi" w:hAnsiTheme="minorHAnsi" w:cstheme="minorHAnsi"/>
              </w:rPr>
            </w:pPr>
            <w:r>
              <w:rPr>
                <w:rFonts w:asciiTheme="minorHAnsi" w:hAnsiTheme="minorHAnsi" w:cstheme="minorHAnsi"/>
              </w:rPr>
              <w:lastRenderedPageBreak/>
              <w:t>É</w:t>
            </w:r>
            <w:r w:rsidR="00156EAC" w:rsidRPr="00866186">
              <w:rPr>
                <w:rFonts w:asciiTheme="minorHAnsi" w:hAnsiTheme="minorHAnsi" w:cstheme="minorHAnsi"/>
              </w:rPr>
              <w:t>couler les stocks doit probablement constituer un bénéfice pour le consommateur…</w:t>
            </w:r>
          </w:p>
        </w:tc>
      </w:tr>
      <w:tr w:rsidR="00866186" w:rsidRPr="00866186" w:rsidTr="00866186">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9" w:history="1">
              <w:r w:rsidR="00156EAC" w:rsidRPr="00866186">
                <w:rPr>
                  <w:rStyle w:val="Lienhypertexte"/>
                  <w:rFonts w:asciiTheme="minorHAnsi" w:hAnsiTheme="minorHAnsi" w:cstheme="minorHAnsi"/>
                  <w:b/>
                </w:rPr>
                <w:t>Directive 2009/32/CE</w:t>
              </w:r>
            </w:hyperlink>
            <w:r w:rsidR="00156EAC" w:rsidRPr="00866186">
              <w:rPr>
                <w:rFonts w:asciiTheme="minorHAnsi" w:hAnsiTheme="minorHAnsi" w:cstheme="minorHAnsi"/>
                <w:u w:val="single"/>
              </w:rPr>
              <w:t xml:space="preserve"> </w:t>
            </w:r>
            <w:r w:rsidR="00156EAC" w:rsidRPr="00866186">
              <w:rPr>
                <w:rFonts w:asciiTheme="minorHAnsi" w:hAnsiTheme="minorHAnsi" w:cstheme="minorHAnsi"/>
              </w:rPr>
              <w:t>(9 pages)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Refond et remplace la Directive 88/344/CEE</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 xml:space="preserve">(1) </w:t>
            </w:r>
            <w:r w:rsidRPr="00866186">
              <w:rPr>
                <w:rFonts w:asciiTheme="minorHAnsi" w:hAnsiTheme="minorHAnsi" w:cstheme="minorHAnsi"/>
                <w:i/>
                <w:color w:val="19161A"/>
              </w:rPr>
              <w:t xml:space="preserve">La directive 88/344/CEE du Conseil du 13 juin 1988 relative au rapprochement des législations des États membres concernant les solvants d'extraction utilisés dans la fabrication des denrées alimentaires et de leurs ingrédients a été </w:t>
            </w:r>
            <w:r w:rsidRPr="00866186">
              <w:rPr>
                <w:rFonts w:asciiTheme="minorHAnsi" w:hAnsiTheme="minorHAnsi" w:cstheme="minorHAnsi"/>
                <w:i/>
                <w:color w:val="19161A"/>
                <w:u w:val="single"/>
              </w:rPr>
              <w:t xml:space="preserve">modifiée de façon substantielle à plusieurs </w:t>
            </w:r>
            <w:proofErr w:type="gramStart"/>
            <w:r w:rsidRPr="00866186">
              <w:rPr>
                <w:rFonts w:asciiTheme="minorHAnsi" w:hAnsiTheme="minorHAnsi" w:cstheme="minorHAnsi"/>
                <w:i/>
                <w:color w:val="19161A"/>
                <w:u w:val="single"/>
              </w:rPr>
              <w:t>reprises</w:t>
            </w:r>
            <w:r w:rsidRPr="00866186">
              <w:rPr>
                <w:rFonts w:asciiTheme="minorHAnsi" w:hAnsiTheme="minorHAnsi" w:cstheme="minorHAnsi"/>
                <w:i/>
                <w:color w:val="19161A"/>
              </w:rPr>
              <w:t xml:space="preserve"> .</w:t>
            </w:r>
            <w:proofErr w:type="gramEnd"/>
            <w:r w:rsidRPr="00866186">
              <w:rPr>
                <w:rFonts w:asciiTheme="minorHAnsi" w:hAnsiTheme="minorHAnsi" w:cstheme="minorHAnsi"/>
                <w:i/>
                <w:color w:val="19161A"/>
              </w:rPr>
              <w:t xml:space="preserve"> Étant donné que de nouvelles modifications s'imposent, il convient, dans un souci de clarté, de procéder à une refonte de ladite directive.</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En réalité, quand on compare l’évolution des textes au cours du temps, on observe qu’entre 1988 et 2009 :</w:t>
            </w:r>
          </w:p>
          <w:p w:rsidR="00156EAC" w:rsidRPr="00866186" w:rsidRDefault="00156EAC" w:rsidP="00C27B67">
            <w:pPr>
              <w:numPr>
                <w:ilvl w:val="0"/>
                <w:numId w:val="1"/>
              </w:numPr>
              <w:ind w:left="136" w:hanging="142"/>
              <w:contextualSpacing/>
              <w:jc w:val="both"/>
              <w:rPr>
                <w:rFonts w:asciiTheme="minorHAnsi" w:hAnsiTheme="minorHAnsi" w:cstheme="minorHAnsi"/>
              </w:rPr>
            </w:pPr>
            <w:r w:rsidRPr="00866186">
              <w:rPr>
                <w:rFonts w:asciiTheme="minorHAnsi" w:hAnsiTheme="minorHAnsi" w:cstheme="minorHAnsi"/>
              </w:rPr>
              <w:t xml:space="preserve">Les taux de résidus maximaux sont restés inchangés, sauf pour deux qui ont vu leurs taux diminués </w:t>
            </w:r>
            <w:r w:rsidRPr="00866186">
              <w:rPr>
                <w:rFonts w:asciiTheme="minorHAnsi" w:hAnsiTheme="minorHAnsi" w:cstheme="minorHAnsi"/>
                <w:b/>
              </w:rPr>
              <w:t xml:space="preserve">l’hexane (passé de 5 à 1mg/Kg dans les </w:t>
            </w:r>
            <w:r w:rsidRPr="00866186">
              <w:rPr>
                <w:rFonts w:asciiTheme="minorHAnsi" w:hAnsiTheme="minorHAnsi" w:cstheme="minorHAnsi"/>
              </w:rPr>
              <w:t>graisses,</w:t>
            </w:r>
            <w:r w:rsidRPr="00866186">
              <w:rPr>
                <w:rFonts w:asciiTheme="minorHAnsi" w:hAnsiTheme="minorHAnsi" w:cstheme="minorHAnsi"/>
                <w:b/>
              </w:rPr>
              <w:t xml:space="preserve"> huiles </w:t>
            </w:r>
            <w:r w:rsidRPr="00866186">
              <w:rPr>
                <w:rFonts w:asciiTheme="minorHAnsi" w:hAnsiTheme="minorHAnsi" w:cstheme="minorHAnsi"/>
              </w:rPr>
              <w:t>et beurre de cacao</w:t>
            </w:r>
            <w:r w:rsidRPr="00866186">
              <w:rPr>
                <w:rFonts w:asciiTheme="minorHAnsi" w:hAnsiTheme="minorHAnsi" w:cstheme="minorHAnsi"/>
                <w:b/>
              </w:rPr>
              <w:t>)</w:t>
            </w:r>
            <w:r w:rsidRPr="00866186">
              <w:rPr>
                <w:rFonts w:asciiTheme="minorHAnsi" w:hAnsiTheme="minorHAnsi" w:cstheme="minorHAnsi"/>
              </w:rPr>
              <w:t>, et le Dichlorométhane.</w:t>
            </w:r>
          </w:p>
          <w:p w:rsidR="00156EAC" w:rsidRPr="00866186" w:rsidRDefault="00156EAC" w:rsidP="00C27B67">
            <w:pPr>
              <w:numPr>
                <w:ilvl w:val="0"/>
                <w:numId w:val="1"/>
              </w:numPr>
              <w:ind w:left="136" w:hanging="142"/>
              <w:contextualSpacing/>
              <w:jc w:val="both"/>
              <w:rPr>
                <w:rFonts w:asciiTheme="minorHAnsi" w:hAnsiTheme="minorHAnsi" w:cstheme="minorHAnsi"/>
              </w:rPr>
            </w:pPr>
            <w:r w:rsidRPr="00866186">
              <w:rPr>
                <w:rFonts w:asciiTheme="minorHAnsi" w:hAnsiTheme="minorHAnsi" w:cstheme="minorHAnsi"/>
              </w:rPr>
              <w:t xml:space="preserve">Quatre nouveaux produits chimiques ont été </w:t>
            </w:r>
            <w:r w:rsidRPr="00866186">
              <w:rPr>
                <w:rFonts w:asciiTheme="minorHAnsi" w:hAnsiTheme="minorHAnsi" w:cstheme="minorHAnsi"/>
                <w:u w:val="single"/>
              </w:rPr>
              <w:t>ajoutés</w:t>
            </w:r>
            <w:r w:rsidRPr="00866186">
              <w:rPr>
                <w:rFonts w:asciiTheme="minorHAnsi" w:hAnsiTheme="minorHAnsi" w:cstheme="minorHAnsi"/>
              </w:rPr>
              <w:t>, donc autorisés (Méthanol, Propanol-2, Propanol-1, 1,1,1,2-tétrafluoroéthane),</w:t>
            </w:r>
          </w:p>
          <w:p w:rsidR="00156EAC" w:rsidRPr="00866186" w:rsidRDefault="00156EAC" w:rsidP="00C27B67">
            <w:pPr>
              <w:numPr>
                <w:ilvl w:val="0"/>
                <w:numId w:val="1"/>
              </w:numPr>
              <w:ind w:left="136" w:hanging="142"/>
              <w:contextualSpacing/>
              <w:jc w:val="both"/>
              <w:rPr>
                <w:rFonts w:asciiTheme="minorHAnsi" w:hAnsiTheme="minorHAnsi" w:cstheme="minorHAnsi"/>
              </w:rPr>
            </w:pPr>
            <w:r w:rsidRPr="00866186">
              <w:rPr>
                <w:rFonts w:asciiTheme="minorHAnsi" w:hAnsiTheme="minorHAnsi" w:cstheme="minorHAnsi"/>
              </w:rPr>
              <w:t xml:space="preserve">Seuls deux produits chimiques ont été supprimés (Isobutane, Methyl-propanol-1), et </w:t>
            </w:r>
            <w:r w:rsidRPr="00866186">
              <w:rPr>
                <w:rFonts w:asciiTheme="minorHAnsi" w:hAnsiTheme="minorHAnsi" w:cstheme="minorHAnsi"/>
                <w:b/>
              </w:rPr>
              <w:t>l’acétone n’a été interdite que pour le raffinage de l’huile de grignons</w:t>
            </w:r>
            <w:r w:rsidRPr="00866186">
              <w:rPr>
                <w:rFonts w:asciiTheme="minorHAnsi" w:hAnsiTheme="minorHAnsi" w:cstheme="minorHAnsi"/>
              </w:rPr>
              <w:t>.</w:t>
            </w:r>
          </w:p>
          <w:p w:rsidR="00156EAC" w:rsidRPr="00866186" w:rsidRDefault="00156EAC" w:rsidP="00C27B67">
            <w:pPr>
              <w:ind w:left="720"/>
              <w:contextualSpacing/>
              <w:jc w:val="both"/>
              <w:rPr>
                <w:rFonts w:asciiTheme="minorHAnsi" w:hAnsiTheme="minorHAnsi" w:cstheme="minorHAnsi"/>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rPr>
              <w:t xml:space="preserve">(2) </w:t>
            </w:r>
            <w:r w:rsidRPr="00866186">
              <w:rPr>
                <w:rFonts w:asciiTheme="minorHAnsi" w:hAnsiTheme="minorHAnsi" w:cstheme="minorHAnsi"/>
                <w:i/>
                <w:color w:val="19161A"/>
              </w:rPr>
              <w:t>Les différences entre les législations nationales concernant les solvants d'extraction entravent la libre circulation des denrées alimentaires et elles peuvent aboutir à des conditions inégales de concurrence en ayant donc une incidence directe sur le fonctionnement du marché intérieur.</w:t>
            </w:r>
          </w:p>
          <w:p w:rsidR="00156EAC" w:rsidRPr="00866186" w:rsidRDefault="00156EAC" w:rsidP="00C27B67">
            <w:pPr>
              <w:contextualSpacing/>
              <w:jc w:val="both"/>
              <w:rPr>
                <w:rFonts w:asciiTheme="minorHAnsi" w:hAnsiTheme="minorHAnsi" w:cstheme="minorHAnsi"/>
                <w:i/>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 à ceci près que dans la directive de 1988, il était mentionné en plus que ces différences faisaient « </w:t>
            </w:r>
            <w:r w:rsidRPr="00866186">
              <w:rPr>
                <w:rFonts w:asciiTheme="minorHAnsi" w:hAnsiTheme="minorHAnsi" w:cstheme="minorHAnsi"/>
                <w:i/>
              </w:rPr>
              <w:t>obstacle à l’établissement du marché commun </w:t>
            </w:r>
            <w:r w:rsidRPr="00866186">
              <w:rPr>
                <w:rFonts w:asciiTheme="minorHAnsi" w:hAnsiTheme="minorHAnsi" w:cstheme="minorHAnsi"/>
              </w:rPr>
              <w:t>».</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rPr>
              <w:t xml:space="preserve">(3) </w:t>
            </w:r>
            <w:r w:rsidRPr="00866186">
              <w:rPr>
                <w:rFonts w:asciiTheme="minorHAnsi" w:hAnsiTheme="minorHAnsi" w:cstheme="minorHAnsi"/>
                <w:i/>
                <w:color w:val="19161A"/>
              </w:rPr>
              <w:t>Le rapprochement de ces législations est dès lors nécessaire pour permettre la libre circulation des denrées alimentaires.</w:t>
            </w:r>
          </w:p>
          <w:p w:rsidR="00156EAC" w:rsidRPr="00866186" w:rsidRDefault="00156EAC" w:rsidP="00C27B67">
            <w:pPr>
              <w:contextualSpacing/>
              <w:jc w:val="both"/>
              <w:rPr>
                <w:rFonts w:asciiTheme="minorHAnsi" w:hAnsiTheme="minorHAnsi" w:cstheme="minorHAnsi"/>
                <w:i/>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 En déduire donc que même après 21 ans, les différents pays de l’UE ne sont toujours pas d’accord sur ce sujet…</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u w:val="single"/>
              </w:rPr>
            </w:pPr>
            <w:r w:rsidRPr="00866186">
              <w:rPr>
                <w:rFonts w:asciiTheme="minorHAnsi" w:hAnsiTheme="minorHAnsi" w:cstheme="minorHAnsi"/>
                <w:i/>
              </w:rPr>
              <w:t xml:space="preserve">(4) </w:t>
            </w:r>
            <w:r w:rsidRPr="00866186">
              <w:rPr>
                <w:rFonts w:asciiTheme="minorHAnsi" w:hAnsiTheme="minorHAnsi" w:cstheme="minorHAnsi"/>
                <w:i/>
                <w:color w:val="19161A"/>
              </w:rPr>
              <w:t xml:space="preserve">Les législations concernant les solvants d'extraction destinés à être utilisés dans les denrées alimentaires </w:t>
            </w:r>
            <w:r w:rsidRPr="00866186">
              <w:rPr>
                <w:rFonts w:asciiTheme="minorHAnsi" w:hAnsiTheme="minorHAnsi" w:cstheme="minorHAnsi"/>
                <w:i/>
                <w:color w:val="19161A"/>
                <w:u w:val="single"/>
              </w:rPr>
              <w:t>devraient tenir compte principalement des normes relatives à la santé humaine</w:t>
            </w:r>
            <w:r w:rsidRPr="00866186">
              <w:rPr>
                <w:rFonts w:asciiTheme="minorHAnsi" w:hAnsiTheme="minorHAnsi" w:cstheme="minorHAnsi"/>
                <w:i/>
                <w:color w:val="19161A"/>
              </w:rPr>
              <w:t xml:space="preserve">, mais aussi, dans les limites exigées par la protection de la santé, </w:t>
            </w:r>
            <w:r w:rsidRPr="00866186">
              <w:rPr>
                <w:rFonts w:asciiTheme="minorHAnsi" w:hAnsiTheme="minorHAnsi" w:cstheme="minorHAnsi"/>
                <w:i/>
                <w:color w:val="19161A"/>
                <w:u w:val="single"/>
              </w:rPr>
              <w:t>des besoins économiques et techniques.</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w:t>
            </w: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Le lecteur appréciera l’emploi du conditionnel « </w:t>
            </w:r>
            <w:r w:rsidRPr="00866186">
              <w:rPr>
                <w:rFonts w:asciiTheme="minorHAnsi" w:hAnsiTheme="minorHAnsi" w:cstheme="minorHAnsi"/>
                <w:i/>
              </w:rPr>
              <w:t>devraient </w:t>
            </w:r>
            <w:r w:rsidRPr="00866186">
              <w:rPr>
                <w:rFonts w:asciiTheme="minorHAnsi" w:hAnsiTheme="minorHAnsi" w:cstheme="minorHAnsi"/>
              </w:rPr>
              <w:t>» plutôt que « doivent impérativement ».</w:t>
            </w: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A condition que ces normes existent… Or comment faire pour que tous les pays tombent d’accord sur l’établissement de ces hypothétiques normes ? Donc il n’y a que la commission qui pourrait les définir. Mais quelle sera alors leur validité vis à vis de la santé, quand on nous précise d’emblée qu’elles seront sous la contrainte du commerce et de l’industrie</w:t>
            </w:r>
            <w:r w:rsidR="00866186">
              <w:rPr>
                <w:rFonts w:asciiTheme="minorHAnsi" w:hAnsiTheme="minorHAnsi" w:cstheme="minorHAnsi"/>
              </w:rPr>
              <w:t xml:space="preserve"> </w:t>
            </w:r>
            <w:r w:rsidRPr="00866186">
              <w:rPr>
                <w:rFonts w:asciiTheme="minorHAnsi" w:hAnsiTheme="minorHAnsi" w:cstheme="minorHAnsi"/>
              </w:rPr>
              <w:t>?</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tc>
      </w:tr>
      <w:tr w:rsidR="00866186" w:rsidRPr="00866186" w:rsidTr="00866186">
        <w:tc>
          <w:tcPr>
            <w:tcW w:w="2481" w:type="pct"/>
            <w:shd w:val="clear" w:color="auto" w:fill="auto"/>
          </w:tcPr>
          <w:p w:rsidR="00156EAC" w:rsidRPr="00866186" w:rsidRDefault="00156EAC" w:rsidP="00C27B67">
            <w:pPr>
              <w:pStyle w:val="CM4"/>
              <w:contextualSpacing/>
              <w:jc w:val="both"/>
              <w:rPr>
                <w:rFonts w:asciiTheme="minorHAnsi" w:hAnsiTheme="minorHAnsi" w:cstheme="minorHAnsi"/>
                <w:i/>
                <w:color w:val="19161A"/>
                <w:lang w:val="fr-FR"/>
              </w:rPr>
            </w:pPr>
            <w:r w:rsidRPr="00866186">
              <w:rPr>
                <w:rFonts w:asciiTheme="minorHAnsi" w:hAnsiTheme="minorHAnsi" w:cstheme="minorHAnsi"/>
                <w:i/>
                <w:lang w:val="fr-FR"/>
              </w:rPr>
              <w:t xml:space="preserve">(6) </w:t>
            </w:r>
            <w:r w:rsidRPr="00866186">
              <w:rPr>
                <w:rFonts w:asciiTheme="minorHAnsi" w:hAnsiTheme="minorHAnsi" w:cstheme="minorHAnsi"/>
                <w:i/>
                <w:color w:val="19161A"/>
                <w:lang w:val="fr-FR"/>
              </w:rPr>
              <w:t xml:space="preserve">L'emploi d'un solvant d'extraction dans des conditions de bonne pratique de fabrication </w:t>
            </w:r>
            <w:r w:rsidRPr="00866186">
              <w:rPr>
                <w:rFonts w:asciiTheme="minorHAnsi" w:hAnsiTheme="minorHAnsi" w:cstheme="minorHAnsi"/>
                <w:i/>
                <w:color w:val="19161A"/>
                <w:u w:val="single"/>
                <w:lang w:val="fr-FR"/>
              </w:rPr>
              <w:t>devrait</w:t>
            </w:r>
            <w:r w:rsidRPr="00866186">
              <w:rPr>
                <w:rFonts w:asciiTheme="minorHAnsi" w:hAnsiTheme="minorHAnsi" w:cstheme="minorHAnsi"/>
                <w:i/>
                <w:color w:val="19161A"/>
                <w:lang w:val="fr-FR"/>
              </w:rPr>
              <w:t xml:space="preserve"> avoir comme résultat l'élimination de la totalité </w:t>
            </w:r>
            <w:r w:rsidRPr="00866186">
              <w:rPr>
                <w:rFonts w:asciiTheme="minorHAnsi" w:hAnsiTheme="minorHAnsi" w:cstheme="minorHAnsi"/>
                <w:i/>
                <w:color w:val="19161A"/>
                <w:u w:val="single"/>
                <w:lang w:val="fr-FR"/>
              </w:rPr>
              <w:t xml:space="preserve">ou de la plus grande partie des résidus </w:t>
            </w:r>
            <w:r w:rsidRPr="00866186">
              <w:rPr>
                <w:rFonts w:asciiTheme="minorHAnsi" w:hAnsiTheme="minorHAnsi" w:cstheme="minorHAnsi"/>
                <w:i/>
                <w:color w:val="19161A"/>
                <w:lang w:val="fr-FR"/>
              </w:rPr>
              <w:t>de solvants contenus dans les denrées alimentaires ou leurs ingrédients.</w:t>
            </w:r>
          </w:p>
          <w:p w:rsidR="00156EAC" w:rsidRPr="00866186" w:rsidRDefault="00156EAC" w:rsidP="00C27B67">
            <w:pPr>
              <w:pStyle w:val="CM4"/>
              <w:contextualSpacing/>
              <w:jc w:val="both"/>
              <w:rPr>
                <w:rFonts w:asciiTheme="minorHAnsi" w:hAnsiTheme="minorHAnsi" w:cstheme="minorHAnsi"/>
                <w:b/>
                <w:i/>
                <w:color w:val="19161A"/>
                <w:lang w:val="fr-FR"/>
              </w:rPr>
            </w:pPr>
            <w:r w:rsidRPr="00866186">
              <w:rPr>
                <w:rFonts w:asciiTheme="minorHAnsi" w:hAnsiTheme="minorHAnsi" w:cstheme="minorHAnsi"/>
                <w:i/>
                <w:color w:val="19161A"/>
                <w:lang w:val="fr-FR"/>
              </w:rPr>
              <w:t xml:space="preserve">(7) Dans de telles conditions, la présence de résidus ou de dérivés dans le produit final de la denrée alimentaire ou de son ingrédient </w:t>
            </w:r>
            <w:r w:rsidRPr="00866186">
              <w:rPr>
                <w:rFonts w:asciiTheme="minorHAnsi" w:hAnsiTheme="minorHAnsi" w:cstheme="minorHAnsi"/>
                <w:i/>
                <w:color w:val="19161A"/>
                <w:u w:val="single"/>
                <w:lang w:val="fr-FR"/>
              </w:rPr>
              <w:t>peut être involontaire mais techniquement inévitable.</w:t>
            </w:r>
          </w:p>
          <w:p w:rsidR="00156EAC" w:rsidRPr="00866186" w:rsidRDefault="00156EAC" w:rsidP="00C27B67">
            <w:pPr>
              <w:rPr>
                <w:rFonts w:asciiTheme="minorHAnsi" w:hAnsiTheme="minorHAnsi" w:cstheme="minorHAnsi"/>
                <w:i/>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 Donc s’il n’y a pas de solution technique pour éviter la présence de produits chimiques, on ignore tout principe de précaution. Le commerce avant tout !</w:t>
            </w:r>
          </w:p>
          <w:p w:rsidR="00156EAC" w:rsidRPr="00866186" w:rsidRDefault="00156EAC" w:rsidP="00C27B67">
            <w:pPr>
              <w:contextualSpacing/>
              <w:jc w:val="both"/>
              <w:rPr>
                <w:rFonts w:asciiTheme="minorHAnsi" w:hAnsiTheme="minorHAnsi" w:cstheme="minorHAnsi"/>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u w:val="single"/>
              </w:rPr>
            </w:pPr>
            <w:r w:rsidRPr="00866186">
              <w:rPr>
                <w:rFonts w:asciiTheme="minorHAnsi" w:hAnsiTheme="minorHAnsi" w:cstheme="minorHAnsi"/>
                <w:i/>
                <w:color w:val="19161A"/>
              </w:rPr>
              <w:t>(8) Une limitation spécifique, tout en étant utile en règle générale</w:t>
            </w:r>
            <w:r w:rsidRPr="00866186">
              <w:rPr>
                <w:rFonts w:asciiTheme="minorHAnsi" w:hAnsiTheme="minorHAnsi" w:cstheme="minorHAnsi"/>
                <w:i/>
                <w:color w:val="19161A"/>
                <w:u w:val="single"/>
              </w:rPr>
              <w:t xml:space="preserve">, n'est pas nécessaire dans le cas des </w:t>
            </w:r>
            <w:r w:rsidRPr="00866186">
              <w:rPr>
                <w:rFonts w:asciiTheme="minorHAnsi" w:hAnsiTheme="minorHAnsi" w:cstheme="minorHAnsi"/>
                <w:i/>
                <w:color w:val="19161A"/>
                <w:u w:val="single"/>
              </w:rPr>
              <w:lastRenderedPageBreak/>
              <w:t>substances énumérées à l'annexe I, partie I</w:t>
            </w:r>
            <w:r w:rsidRPr="00866186">
              <w:rPr>
                <w:rFonts w:asciiTheme="minorHAnsi" w:hAnsiTheme="minorHAnsi" w:cstheme="minorHAnsi"/>
                <w:i/>
                <w:color w:val="19161A"/>
              </w:rPr>
              <w:t xml:space="preserve">, et admises du point de vue de la sécurité pour le consommateur, </w:t>
            </w:r>
            <w:r w:rsidRPr="00866186">
              <w:rPr>
                <w:rFonts w:asciiTheme="minorHAnsi" w:hAnsiTheme="minorHAnsi" w:cstheme="minorHAnsi"/>
                <w:i/>
                <w:color w:val="19161A"/>
                <w:u w:val="single"/>
              </w:rPr>
              <w:t>si celles-ci sont employées dans des conditions de bonne pratique de fabrication.</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lastRenderedPageBreak/>
              <w:t xml:space="preserve">Idem 88/344/CEE. Comprendre : aucun seuil maximum n’est fixé pour certains des produits </w:t>
            </w:r>
            <w:r w:rsidRPr="00866186">
              <w:rPr>
                <w:rFonts w:asciiTheme="minorHAnsi" w:hAnsiTheme="minorHAnsi" w:cstheme="minorHAnsi"/>
              </w:rPr>
              <w:lastRenderedPageBreak/>
              <w:t>chimiques autorisés. Pourtant le renvoi (1) de l’annexe mentionnée précise quand même « </w:t>
            </w:r>
            <w:r w:rsidRPr="00866186">
              <w:rPr>
                <w:rFonts w:asciiTheme="minorHAnsi" w:hAnsiTheme="minorHAnsi" w:cstheme="minorHAnsi"/>
                <w:i/>
              </w:rPr>
              <w:t>et ne présentant pas de risques pour la santé humaine ».</w:t>
            </w:r>
            <w:r w:rsidRPr="00866186">
              <w:rPr>
                <w:rFonts w:asciiTheme="minorHAnsi" w:hAnsiTheme="minorHAnsi" w:cstheme="minorHAnsi"/>
              </w:rPr>
              <w:t xml:space="preserve"> Qui va donc définir si </w:t>
            </w:r>
            <w:proofErr w:type="spellStart"/>
            <w:r w:rsidRPr="00866186">
              <w:rPr>
                <w:rFonts w:asciiTheme="minorHAnsi" w:hAnsiTheme="minorHAnsi" w:cstheme="minorHAnsi"/>
              </w:rPr>
              <w:t>çà</w:t>
            </w:r>
            <w:proofErr w:type="spellEnd"/>
            <w:r w:rsidRPr="00866186">
              <w:rPr>
                <w:rFonts w:asciiTheme="minorHAnsi" w:hAnsiTheme="minorHAnsi" w:cstheme="minorHAnsi"/>
              </w:rPr>
              <w:t xml:space="preserve"> ne présente pas de risques ? Et qui va vérifier que ces bonnes pratiques seront respectées de tous, partout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lastRenderedPageBreak/>
              <w:t>(…)</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Article 2</w:t>
            </w:r>
          </w:p>
          <w:p w:rsidR="00156EAC" w:rsidRPr="00866186" w:rsidRDefault="00156EAC" w:rsidP="00C27B67">
            <w:pPr>
              <w:pStyle w:val="CM4"/>
              <w:jc w:val="both"/>
              <w:rPr>
                <w:rFonts w:asciiTheme="minorHAnsi" w:hAnsiTheme="minorHAnsi" w:cstheme="minorHAnsi"/>
                <w:i/>
                <w:color w:val="19161A"/>
                <w:lang w:val="fr-FR"/>
              </w:rPr>
            </w:pPr>
            <w:r w:rsidRPr="00866186">
              <w:rPr>
                <w:rFonts w:asciiTheme="minorHAnsi" w:hAnsiTheme="minorHAnsi" w:cstheme="minorHAnsi"/>
                <w:i/>
                <w:color w:val="19161A"/>
                <w:lang w:val="fr-FR"/>
              </w:rPr>
              <w:t xml:space="preserve">1. Les États membres autorisent l'utilisation, en tant que solvants d'extraction dans la fabrication de denrées alimentaires ou de leurs ingrédients, des substances et matières énumérées à l'annexe I, dans les conditions d'emploi et le respect des limites maximales de résidus qui sont éventuellement précisées dans ladite annexe. </w:t>
            </w:r>
          </w:p>
          <w:p w:rsidR="00156EAC" w:rsidRPr="00866186" w:rsidRDefault="00156EAC" w:rsidP="00C27B67">
            <w:pPr>
              <w:contextualSpacing/>
              <w:jc w:val="both"/>
              <w:rPr>
                <w:rFonts w:asciiTheme="minorHAnsi" w:hAnsiTheme="minorHAnsi" w:cstheme="minorHAnsi"/>
                <w:i/>
                <w:color w:val="19161A"/>
              </w:rPr>
            </w:pP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color w:val="19161A"/>
              </w:rPr>
              <w:t>Les États membres ne peuvent, pour des raisons concernant les solvants d'extraction utilisés, ou leurs résidus, qui répondent aux prescriptions de la présente directive, interdire, restreindre ou entraver la mise sur le marché des denrées alimentaires ou de leurs ingrédients.</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 Autrement dit, les états membres sont contraints d’autoriser toutes les substances autorisées par la commission européenne, avec les mêmes limites maximales, et n’ont pas le droit d’en interdire certaines.</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 xml:space="preserve">3. </w:t>
            </w:r>
            <w:r w:rsidRPr="00866186">
              <w:rPr>
                <w:rFonts w:asciiTheme="minorHAnsi" w:hAnsiTheme="minorHAnsi" w:cstheme="minorHAnsi"/>
                <w:i/>
                <w:color w:val="19161B"/>
              </w:rPr>
              <w:t xml:space="preserve">L'eau, à laquelle peuvent avoir été ajoutées des substances réglant l'acidité ou l'alcalinité, ainsi que d'autres substances alimentaires qui possèdent des propriétés de solvants sont autorisées comme solvants d'extraction dans la fabrication des denrées alimentaires ou de leurs ingrédients.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Typiquement, on acidifie avec de l’acide </w:t>
            </w:r>
            <w:r w:rsidR="00866186">
              <w:rPr>
                <w:rFonts w:asciiTheme="minorHAnsi" w:hAnsiTheme="minorHAnsi" w:cstheme="minorHAnsi"/>
              </w:rPr>
              <w:t>c</w:t>
            </w:r>
            <w:r w:rsidRPr="00866186">
              <w:rPr>
                <w:rFonts w:asciiTheme="minorHAnsi" w:hAnsiTheme="minorHAnsi" w:cstheme="minorHAnsi"/>
              </w:rPr>
              <w:t>hlorhydriqu</w:t>
            </w:r>
            <w:r w:rsidR="00866186">
              <w:rPr>
                <w:rFonts w:asciiTheme="minorHAnsi" w:hAnsiTheme="minorHAnsi" w:cstheme="minorHAnsi"/>
              </w:rPr>
              <w:t>e, et on alcalinise avec de la s</w:t>
            </w:r>
            <w:r w:rsidRPr="00866186">
              <w:rPr>
                <w:rFonts w:asciiTheme="minorHAnsi" w:hAnsiTheme="minorHAnsi" w:cstheme="minorHAnsi"/>
              </w:rPr>
              <w:t>oude.</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color w:val="19161A"/>
              </w:rPr>
              <w:t>Article 5</w:t>
            </w:r>
          </w:p>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color w:val="19161A"/>
              </w:rPr>
              <w:t>1. Si … un État membre a des motifs précis permettant d'établir que l'emploi, dans les denrées alimentaires, de l'une des substances énumérées … est susceptible de nuire à la santé humaine, … il peut suspendre ou restreindre temporairement sur son territoire l'application des dispositions en cause.</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color w:val="19161A"/>
              </w:rPr>
              <w:t>(…)</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2 La commission examine…</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3. Si la commission estime que des modifications à la présente directive sont nécessaires … et garantir la protection de la santé humaine, elle arrête ces modifications.</w:t>
            </w:r>
          </w:p>
          <w:p w:rsidR="00156EAC" w:rsidRPr="00866186" w:rsidRDefault="00156EAC" w:rsidP="00C27B67">
            <w:pPr>
              <w:contextualSpacing/>
              <w:jc w:val="both"/>
              <w:rPr>
                <w:rFonts w:asciiTheme="minorHAnsi" w:hAnsiTheme="minorHAnsi" w:cstheme="minorHAnsi"/>
                <w:i/>
              </w:rPr>
            </w:pP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Article 6</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1. La commission est assistée par le comité permanent de la chaîne alimentaire et de la santé animale,</w:t>
            </w:r>
            <w:r w:rsidR="00866186">
              <w:rPr>
                <w:rFonts w:asciiTheme="minorHAnsi" w:hAnsiTheme="minorHAnsi" w:cstheme="minorHAnsi"/>
                <w:i/>
              </w:rPr>
              <w:t xml:space="preserve"> </w:t>
            </w: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88/344/CEE. Un état peut demander la révision de la directive s’il estime qu’il y a un risque pour la santé. A la commission d’estimer si ces modifications sont nécessaires, en se faisant assister par le « </w:t>
            </w:r>
            <w:r w:rsidRPr="00866186">
              <w:rPr>
                <w:rFonts w:asciiTheme="minorHAnsi" w:hAnsiTheme="minorHAnsi" w:cstheme="minorHAnsi"/>
                <w:i/>
              </w:rPr>
              <w:t>Comité permanent de la chaîne alimentaire et de la santé animale </w:t>
            </w:r>
            <w:r w:rsidRPr="00866186">
              <w:rPr>
                <w:rFonts w:asciiTheme="minorHAnsi" w:hAnsiTheme="minorHAnsi" w:cstheme="minorHAnsi"/>
              </w:rPr>
              <w:t>», organisme non élu et sous l’influence des lobbies…</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color w:val="FF0000"/>
              </w:rPr>
            </w:pPr>
          </w:p>
        </w:tc>
      </w:tr>
      <w:tr w:rsidR="00866186" w:rsidRPr="00866186" w:rsidTr="00866186">
        <w:tc>
          <w:tcPr>
            <w:tcW w:w="2481" w:type="pct"/>
            <w:shd w:val="clear" w:color="auto" w:fill="auto"/>
          </w:tcPr>
          <w:p w:rsidR="00156EAC" w:rsidRPr="00866186" w:rsidRDefault="00156EAC" w:rsidP="00C27B67">
            <w:pPr>
              <w:jc w:val="both"/>
              <w:rPr>
                <w:rFonts w:asciiTheme="minorHAnsi" w:hAnsiTheme="minorHAnsi" w:cstheme="minorHAnsi"/>
                <w:i/>
              </w:rPr>
            </w:pPr>
            <w:r w:rsidRPr="00866186">
              <w:rPr>
                <w:rFonts w:asciiTheme="minorHAnsi" w:hAnsiTheme="minorHAnsi" w:cstheme="minorHAnsi"/>
                <w:i/>
              </w:rPr>
              <w:t>Article 7</w:t>
            </w:r>
          </w:p>
          <w:p w:rsidR="00156EAC" w:rsidRPr="00866186" w:rsidRDefault="00156EAC" w:rsidP="00C27B67">
            <w:pPr>
              <w:jc w:val="both"/>
              <w:rPr>
                <w:rFonts w:asciiTheme="minorHAnsi" w:hAnsiTheme="minorHAnsi" w:cstheme="minorHAnsi"/>
                <w:i/>
                <w:color w:val="19161B"/>
              </w:rPr>
            </w:pPr>
            <w:r w:rsidRPr="00866186">
              <w:rPr>
                <w:rFonts w:asciiTheme="minorHAnsi" w:hAnsiTheme="minorHAnsi" w:cstheme="minorHAnsi"/>
                <w:i/>
                <w:color w:val="19161B"/>
              </w:rPr>
              <w:t xml:space="preserve">1. Les États membres prennent toutes les dispositions utiles pour garantir que les substances énumérées à </w:t>
            </w:r>
            <w:r w:rsidRPr="00866186">
              <w:rPr>
                <w:rFonts w:asciiTheme="minorHAnsi" w:hAnsiTheme="minorHAnsi" w:cstheme="minorHAnsi"/>
                <w:i/>
                <w:color w:val="19161B"/>
              </w:rPr>
              <w:lastRenderedPageBreak/>
              <w:t xml:space="preserve">l'annexe I et destinées, en tant que solvants d'extraction, à l'usage alimentaire ne puissent être mises sur le marché que si leurs emballages, récipients ou étiquettes portent les mentions suivantes, </w:t>
            </w:r>
            <w:r w:rsidRPr="00866186">
              <w:rPr>
                <w:rFonts w:asciiTheme="minorHAnsi" w:hAnsiTheme="minorHAnsi" w:cstheme="minorHAnsi"/>
                <w:i/>
                <w:color w:val="19161B"/>
                <w:u w:val="single"/>
              </w:rPr>
              <w:t>inscrites de manière à être facilement visibles, clairement lisibles et indélébiles</w:t>
            </w:r>
            <w:r w:rsidR="00866186">
              <w:rPr>
                <w:rFonts w:asciiTheme="minorHAnsi" w:hAnsiTheme="minorHAnsi" w:cstheme="minorHAnsi"/>
                <w:i/>
                <w:color w:val="19161B"/>
                <w:u w:val="single"/>
              </w:rPr>
              <w:t xml:space="preserve"> </w:t>
            </w:r>
            <w:r w:rsidRPr="00866186">
              <w:rPr>
                <w:rFonts w:asciiTheme="minorHAnsi" w:hAnsiTheme="minorHAnsi" w:cstheme="minorHAnsi"/>
                <w:i/>
                <w:color w:val="19161B"/>
                <w:u w:val="single"/>
              </w:rPr>
              <w:t>:</w:t>
            </w:r>
            <w:r w:rsidRPr="00866186">
              <w:rPr>
                <w:rFonts w:asciiTheme="minorHAnsi" w:hAnsiTheme="minorHAnsi" w:cstheme="minorHAnsi"/>
                <w:i/>
                <w:color w:val="19161B"/>
              </w:rPr>
              <w:t xml:space="preserve"> </w:t>
            </w:r>
          </w:p>
          <w:p w:rsidR="00156EAC" w:rsidRPr="00866186" w:rsidRDefault="00156EAC" w:rsidP="00C27B67">
            <w:pPr>
              <w:ind w:left="284"/>
              <w:jc w:val="both"/>
              <w:rPr>
                <w:rFonts w:asciiTheme="minorHAnsi" w:hAnsiTheme="minorHAnsi" w:cstheme="minorHAnsi"/>
                <w:i/>
                <w:color w:val="19161B"/>
              </w:rPr>
            </w:pPr>
            <w:r w:rsidRPr="00866186">
              <w:rPr>
                <w:rFonts w:asciiTheme="minorHAnsi" w:hAnsiTheme="minorHAnsi" w:cstheme="minorHAnsi"/>
                <w:i/>
                <w:color w:val="19161B"/>
              </w:rPr>
              <w:t>a</w:t>
            </w:r>
            <w:r w:rsidRPr="00866186">
              <w:rPr>
                <w:rFonts w:asciiTheme="minorHAnsi" w:hAnsiTheme="minorHAnsi" w:cstheme="minorHAnsi"/>
                <w:i/>
                <w:color w:val="19161B"/>
                <w:u w:val="single"/>
              </w:rPr>
              <w:t xml:space="preserve">) la dénomination de vente indiquée à l'annexe </w:t>
            </w:r>
            <w:proofErr w:type="gramStart"/>
            <w:r w:rsidRPr="00866186">
              <w:rPr>
                <w:rFonts w:asciiTheme="minorHAnsi" w:hAnsiTheme="minorHAnsi" w:cstheme="minorHAnsi"/>
                <w:i/>
                <w:color w:val="19161B"/>
                <w:u w:val="single"/>
              </w:rPr>
              <w:t>I;</w:t>
            </w:r>
            <w:proofErr w:type="gramEnd"/>
            <w:r w:rsidRPr="00866186">
              <w:rPr>
                <w:rFonts w:asciiTheme="minorHAnsi" w:hAnsiTheme="minorHAnsi" w:cstheme="minorHAnsi"/>
                <w:i/>
                <w:color w:val="19161B"/>
              </w:rPr>
              <w:t xml:space="preserve"> </w:t>
            </w:r>
          </w:p>
          <w:p w:rsidR="00156EAC" w:rsidRPr="00866186" w:rsidRDefault="00156EAC" w:rsidP="00C27B67">
            <w:pPr>
              <w:pStyle w:val="CM4"/>
              <w:ind w:left="284"/>
              <w:jc w:val="both"/>
              <w:rPr>
                <w:rFonts w:asciiTheme="minorHAnsi" w:hAnsiTheme="minorHAnsi" w:cstheme="minorHAnsi"/>
                <w:i/>
                <w:color w:val="19161B"/>
                <w:lang w:val="fr-FR"/>
              </w:rPr>
            </w:pPr>
            <w:r w:rsidRPr="00866186">
              <w:rPr>
                <w:rFonts w:asciiTheme="minorHAnsi" w:hAnsiTheme="minorHAnsi" w:cstheme="minorHAnsi"/>
                <w:i/>
                <w:color w:val="19161B"/>
                <w:lang w:val="fr-FR"/>
              </w:rPr>
              <w:t>b) une mention claire indiquant que la substance est de qualité appropriée à son usage pour l'extraction des denrées alimentaires ou de leurs ingrédients</w:t>
            </w:r>
            <w:r w:rsidR="00866186">
              <w:rPr>
                <w:rFonts w:asciiTheme="minorHAnsi" w:hAnsiTheme="minorHAnsi" w:cstheme="minorHAnsi"/>
                <w:i/>
                <w:color w:val="19161B"/>
                <w:lang w:val="fr-FR"/>
              </w:rPr>
              <w:t xml:space="preserve"> </w:t>
            </w:r>
            <w:r w:rsidRPr="00866186">
              <w:rPr>
                <w:rFonts w:asciiTheme="minorHAnsi" w:hAnsiTheme="minorHAnsi" w:cstheme="minorHAnsi"/>
                <w:i/>
                <w:color w:val="19161B"/>
                <w:lang w:val="fr-FR"/>
              </w:rPr>
              <w:t>;</w:t>
            </w:r>
          </w:p>
          <w:p w:rsidR="00156EAC" w:rsidRPr="00866186" w:rsidRDefault="00156EAC" w:rsidP="00C27B67">
            <w:pPr>
              <w:pStyle w:val="CM4"/>
              <w:ind w:left="284"/>
              <w:jc w:val="both"/>
              <w:rPr>
                <w:rFonts w:asciiTheme="minorHAnsi" w:hAnsiTheme="minorHAnsi" w:cstheme="minorHAnsi"/>
                <w:i/>
                <w:color w:val="19161B"/>
                <w:lang w:val="fr-FR"/>
              </w:rPr>
            </w:pPr>
            <w:r w:rsidRPr="00866186">
              <w:rPr>
                <w:rFonts w:asciiTheme="minorHAnsi" w:hAnsiTheme="minorHAnsi" w:cstheme="minorHAnsi"/>
                <w:i/>
                <w:color w:val="19161B"/>
                <w:lang w:val="fr-FR"/>
              </w:rPr>
              <w:t>c) une mention permettant d'identifier le lot</w:t>
            </w:r>
            <w:r w:rsidR="00866186">
              <w:rPr>
                <w:rFonts w:asciiTheme="minorHAnsi" w:hAnsiTheme="minorHAnsi" w:cstheme="minorHAnsi"/>
                <w:i/>
                <w:color w:val="19161B"/>
                <w:lang w:val="fr-FR"/>
              </w:rPr>
              <w:t xml:space="preserve"> </w:t>
            </w:r>
            <w:r w:rsidRPr="00866186">
              <w:rPr>
                <w:rFonts w:asciiTheme="minorHAnsi" w:hAnsiTheme="minorHAnsi" w:cstheme="minorHAnsi"/>
                <w:i/>
                <w:color w:val="19161B"/>
                <w:lang w:val="fr-FR"/>
              </w:rPr>
              <w:t>;</w:t>
            </w:r>
          </w:p>
          <w:p w:rsidR="00156EAC" w:rsidRPr="00866186" w:rsidRDefault="00156EAC" w:rsidP="00C27B67">
            <w:pPr>
              <w:pStyle w:val="CM4"/>
              <w:ind w:left="284"/>
              <w:jc w:val="both"/>
              <w:rPr>
                <w:rFonts w:asciiTheme="minorHAnsi" w:hAnsiTheme="minorHAnsi" w:cstheme="minorHAnsi"/>
                <w:i/>
                <w:color w:val="19161B"/>
                <w:lang w:val="fr-FR"/>
              </w:rPr>
            </w:pPr>
            <w:r w:rsidRPr="00866186">
              <w:rPr>
                <w:rFonts w:asciiTheme="minorHAnsi" w:hAnsiTheme="minorHAnsi" w:cstheme="minorHAnsi"/>
                <w:i/>
                <w:color w:val="19161B"/>
                <w:lang w:val="fr-FR"/>
              </w:rPr>
              <w:t>d) le nom ou la raison sociale et l'adresse du fabricant ou du conditionneur ou d'un vendeur établi à l'intérieur de la Communauté</w:t>
            </w:r>
            <w:r w:rsidR="00866186">
              <w:rPr>
                <w:rFonts w:asciiTheme="minorHAnsi" w:hAnsiTheme="minorHAnsi" w:cstheme="minorHAnsi"/>
                <w:i/>
                <w:color w:val="19161B"/>
                <w:lang w:val="fr-FR"/>
              </w:rPr>
              <w:t xml:space="preserve"> </w:t>
            </w:r>
            <w:r w:rsidRPr="00866186">
              <w:rPr>
                <w:rFonts w:asciiTheme="minorHAnsi" w:hAnsiTheme="minorHAnsi" w:cstheme="minorHAnsi"/>
                <w:i/>
                <w:color w:val="19161B"/>
                <w:lang w:val="fr-FR"/>
              </w:rPr>
              <w:t>;</w:t>
            </w:r>
          </w:p>
          <w:p w:rsidR="00156EAC" w:rsidRPr="00866186" w:rsidRDefault="00156EAC" w:rsidP="00C27B67">
            <w:pPr>
              <w:pStyle w:val="CM4"/>
              <w:ind w:left="284"/>
              <w:jc w:val="both"/>
              <w:rPr>
                <w:rFonts w:asciiTheme="minorHAnsi" w:hAnsiTheme="minorHAnsi" w:cstheme="minorHAnsi"/>
                <w:i/>
                <w:color w:val="19161B"/>
                <w:lang w:val="fr-FR"/>
              </w:rPr>
            </w:pPr>
            <w:r w:rsidRPr="00866186">
              <w:rPr>
                <w:rFonts w:asciiTheme="minorHAnsi" w:hAnsiTheme="minorHAnsi" w:cstheme="minorHAnsi"/>
                <w:i/>
                <w:color w:val="19161B"/>
                <w:lang w:val="fr-FR"/>
              </w:rPr>
              <w:t>e)</w:t>
            </w:r>
            <w:r w:rsidRPr="00866186">
              <w:rPr>
                <w:rFonts w:asciiTheme="minorHAnsi" w:hAnsiTheme="minorHAnsi" w:cstheme="minorHAnsi"/>
                <w:i/>
                <w:color w:val="19161B"/>
                <w:u w:val="single"/>
                <w:lang w:val="fr-FR"/>
              </w:rPr>
              <w:t xml:space="preserve"> la quantité nette exprimée en unités de volume</w:t>
            </w:r>
            <w:r w:rsidR="00866186">
              <w:rPr>
                <w:rFonts w:asciiTheme="minorHAnsi" w:hAnsiTheme="minorHAnsi" w:cstheme="minorHAnsi"/>
                <w:i/>
                <w:color w:val="19161B"/>
                <w:u w:val="single"/>
                <w:lang w:val="fr-FR"/>
              </w:rPr>
              <w:t xml:space="preserve"> </w:t>
            </w:r>
            <w:r w:rsidRPr="00866186">
              <w:rPr>
                <w:rFonts w:asciiTheme="minorHAnsi" w:hAnsiTheme="minorHAnsi" w:cstheme="minorHAnsi"/>
                <w:i/>
                <w:color w:val="19161B"/>
                <w:u w:val="single"/>
                <w:lang w:val="fr-FR"/>
              </w:rPr>
              <w:t>;</w:t>
            </w:r>
          </w:p>
          <w:p w:rsidR="00156EAC" w:rsidRPr="00866186" w:rsidRDefault="00156EAC" w:rsidP="00C27B67">
            <w:pPr>
              <w:pStyle w:val="CM4"/>
              <w:ind w:left="284"/>
              <w:jc w:val="both"/>
              <w:rPr>
                <w:rFonts w:asciiTheme="minorHAnsi" w:hAnsiTheme="minorHAnsi" w:cstheme="minorHAnsi"/>
                <w:i/>
                <w:color w:val="000000"/>
                <w:lang w:val="fr-FR"/>
              </w:rPr>
            </w:pPr>
            <w:r w:rsidRPr="00866186">
              <w:rPr>
                <w:rFonts w:asciiTheme="minorHAnsi" w:hAnsiTheme="minorHAnsi" w:cstheme="minorHAnsi"/>
                <w:i/>
                <w:color w:val="19161B"/>
                <w:lang w:val="fr-FR"/>
              </w:rPr>
              <w:t>f) si nécessaire, les conditions particulières de conservation ou d'utilisation.</w:t>
            </w:r>
          </w:p>
          <w:p w:rsidR="00156EAC" w:rsidRPr="00866186" w:rsidRDefault="00156EAC" w:rsidP="00C27B67">
            <w:pPr>
              <w:pStyle w:val="CM4"/>
              <w:jc w:val="both"/>
              <w:rPr>
                <w:rFonts w:asciiTheme="minorHAnsi" w:hAnsiTheme="minorHAnsi" w:cstheme="minorHAnsi"/>
                <w:i/>
                <w:color w:val="000000"/>
                <w:lang w:val="fr-FR"/>
              </w:rPr>
            </w:pPr>
            <w:r w:rsidRPr="00866186">
              <w:rPr>
                <w:rFonts w:asciiTheme="minorHAnsi" w:hAnsiTheme="minorHAnsi" w:cstheme="minorHAnsi"/>
                <w:i/>
                <w:color w:val="000000"/>
                <w:lang w:val="fr-FR"/>
              </w:rPr>
              <w:t>(…)</w:t>
            </w:r>
          </w:p>
          <w:p w:rsidR="00156EAC" w:rsidRPr="00866186" w:rsidRDefault="00156EAC" w:rsidP="00C27B67">
            <w:pPr>
              <w:jc w:val="both"/>
              <w:rPr>
                <w:rFonts w:asciiTheme="minorHAnsi" w:hAnsiTheme="minorHAnsi" w:cstheme="minorHAnsi"/>
                <w:i/>
              </w:rPr>
            </w:pPr>
            <w:r w:rsidRPr="00866186">
              <w:rPr>
                <w:rFonts w:asciiTheme="minorHAnsi" w:hAnsiTheme="minorHAnsi" w:cstheme="minorHAnsi"/>
                <w:i/>
                <w:color w:val="19161B"/>
              </w:rPr>
              <w:t xml:space="preserve">4. </w:t>
            </w:r>
            <w:r w:rsidRPr="00866186">
              <w:rPr>
                <w:rFonts w:asciiTheme="minorHAnsi" w:hAnsiTheme="minorHAnsi" w:cstheme="minorHAnsi"/>
                <w:i/>
                <w:color w:val="19161B"/>
                <w:u w:val="single"/>
              </w:rPr>
              <w:t>Les États membres s'abstiennent de préciser, au-delà de ce que prévoit le présent article, les modalités selon lesquelles les mentions prévues doivent être indiquées</w:t>
            </w:r>
            <w:r w:rsidRPr="00866186">
              <w:rPr>
                <w:rFonts w:asciiTheme="minorHAnsi" w:hAnsiTheme="minorHAnsi" w:cstheme="minorHAnsi"/>
                <w:i/>
                <w:color w:val="19161B"/>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lastRenderedPageBreak/>
              <w:t xml:space="preserve">Idem 88/344/CEE. Autrement dit, les fournisseurs de solvants destinés aux industriels de l’agro-alimentaire </w:t>
            </w:r>
            <w:r w:rsidRPr="00866186">
              <w:rPr>
                <w:rFonts w:asciiTheme="minorHAnsi" w:hAnsiTheme="minorHAnsi" w:cstheme="minorHAnsi"/>
              </w:rPr>
              <w:lastRenderedPageBreak/>
              <w:t>doivent clairement étiqueter les emballages de ces produits.</w:t>
            </w: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A l’inverse, il ressort que les états membres n’ont pas le droit d’en demander plus aux industriels. Comme par exemple les obliger à indiquer sur les étiquettes des produits alimentaires </w:t>
            </w:r>
            <w:r w:rsidRPr="00654988">
              <w:rPr>
                <w:rFonts w:asciiTheme="minorHAnsi" w:hAnsiTheme="minorHAnsi" w:cstheme="minorHAnsi"/>
                <w:b/>
              </w:rPr>
              <w:t>vendus aux consommateurs</w:t>
            </w:r>
            <w:r w:rsidRPr="00654988">
              <w:rPr>
                <w:rFonts w:asciiTheme="minorHAnsi" w:hAnsiTheme="minorHAnsi" w:cstheme="minorHAnsi"/>
              </w:rPr>
              <w:t xml:space="preserve"> </w:t>
            </w:r>
            <w:r w:rsidRPr="00866186">
              <w:rPr>
                <w:rFonts w:asciiTheme="minorHAnsi" w:hAnsiTheme="minorHAnsi" w:cstheme="minorHAnsi"/>
              </w:rPr>
              <w:t>qu’ils contiennent ces solvants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lastRenderedPageBreak/>
              <w:t>(…)</w:t>
            </w:r>
          </w:p>
        </w:tc>
        <w:tc>
          <w:tcPr>
            <w:tcW w:w="2519" w:type="pct"/>
            <w:shd w:val="clear" w:color="auto" w:fill="auto"/>
          </w:tcPr>
          <w:p w:rsidR="00156EAC" w:rsidRPr="00866186" w:rsidRDefault="00156EAC" w:rsidP="00C27B67">
            <w:pPr>
              <w:contextualSpacing/>
              <w:jc w:val="both"/>
              <w:rPr>
                <w:rFonts w:asciiTheme="minorHAnsi" w:hAnsiTheme="minorHAnsi" w:cstheme="minorHAnsi"/>
                <w:color w:val="FF0000"/>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Article 8</w:t>
            </w:r>
          </w:p>
          <w:p w:rsidR="00156EAC" w:rsidRPr="00866186" w:rsidRDefault="00156EAC" w:rsidP="00C27B67">
            <w:pPr>
              <w:contextualSpacing/>
              <w:jc w:val="both"/>
              <w:rPr>
                <w:rFonts w:asciiTheme="minorHAnsi" w:hAnsiTheme="minorHAnsi" w:cstheme="minorHAnsi"/>
                <w:i/>
                <w:color w:val="19161A"/>
                <w:lang w:val="fr-CA"/>
              </w:rPr>
            </w:pPr>
            <w:r w:rsidRPr="00866186">
              <w:rPr>
                <w:rFonts w:asciiTheme="minorHAnsi" w:hAnsiTheme="minorHAnsi" w:cstheme="minorHAnsi"/>
                <w:i/>
                <w:color w:val="19161A"/>
                <w:lang w:val="fr-CA"/>
              </w:rPr>
              <w:t>1. La présente directive s'applique également aux solvants d'extraction utilisés ou destinés à être utilisés dans la fabrication des denrées alimentaires ou de leurs ingrédients importés dans la Communauté.</w:t>
            </w:r>
          </w:p>
          <w:p w:rsidR="00156EAC" w:rsidRPr="00866186" w:rsidRDefault="00156EAC" w:rsidP="00C27B67">
            <w:pPr>
              <w:contextualSpacing/>
              <w:jc w:val="both"/>
              <w:rPr>
                <w:rFonts w:asciiTheme="minorHAnsi" w:hAnsiTheme="minorHAnsi" w:cstheme="minorHAnsi"/>
                <w:i/>
                <w:color w:val="19161A"/>
                <w:lang w:val="fr-CA"/>
              </w:rPr>
            </w:pPr>
          </w:p>
          <w:p w:rsidR="00156EAC" w:rsidRPr="00866186" w:rsidRDefault="00156EAC" w:rsidP="00C27B67">
            <w:pPr>
              <w:contextualSpacing/>
              <w:jc w:val="both"/>
              <w:rPr>
                <w:rFonts w:asciiTheme="minorHAnsi" w:hAnsiTheme="minorHAnsi" w:cstheme="minorHAnsi"/>
                <w:i/>
                <w:lang w:val="fr-CA"/>
              </w:rPr>
            </w:pPr>
            <w:r w:rsidRPr="00866186">
              <w:rPr>
                <w:rFonts w:asciiTheme="minorHAnsi" w:hAnsiTheme="minorHAnsi" w:cstheme="minorHAnsi"/>
                <w:i/>
                <w:color w:val="19161A"/>
                <w:lang w:val="fr-CA"/>
              </w:rPr>
              <w:t>2. La présente directive ne s'applique ni aux solvants d'extraction ni aux denrées alimentaires destinés à l'exportation hors de la Communauté.</w:t>
            </w:r>
          </w:p>
          <w:p w:rsidR="00156EAC" w:rsidRPr="00866186" w:rsidRDefault="00156EAC" w:rsidP="00C27B67">
            <w:pPr>
              <w:contextualSpacing/>
              <w:jc w:val="both"/>
              <w:rPr>
                <w:rFonts w:asciiTheme="minorHAnsi" w:hAnsiTheme="minorHAnsi" w:cstheme="minorHAnsi"/>
                <w:i/>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Idem 88/344/CEE. </w:t>
            </w:r>
            <w:r w:rsidR="00866186">
              <w:rPr>
                <w:rFonts w:asciiTheme="minorHAnsi" w:hAnsiTheme="minorHAnsi" w:cstheme="minorHAnsi"/>
              </w:rPr>
              <w:t>Et comment contrôle-</w:t>
            </w:r>
            <w:r w:rsidRPr="00866186">
              <w:rPr>
                <w:rFonts w:asciiTheme="minorHAnsi" w:hAnsiTheme="minorHAnsi" w:cstheme="minorHAnsi"/>
              </w:rPr>
              <w:t>t-on que les fabricants hors UE respectent cette directive quand on n’a quasiment plus de structures douanières, et que l’on fait tout pour que les frontières soient les plus ouvertes possibles</w:t>
            </w:r>
            <w:r w:rsidR="00866186">
              <w:rPr>
                <w:rFonts w:asciiTheme="minorHAnsi" w:hAnsiTheme="minorHAnsi" w:cstheme="minorHAnsi"/>
              </w:rPr>
              <w:t xml:space="preserve"> </w:t>
            </w:r>
            <w:r w:rsidRPr="00866186">
              <w:rPr>
                <w:rFonts w:asciiTheme="minorHAnsi" w:hAnsiTheme="minorHAnsi" w:cstheme="minorHAnsi"/>
              </w:rPr>
              <w:t>?</w:t>
            </w: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Autrement dit, pour l’export, les industriels ont le droit de faire ce qu’ils veulent, et même pire…</w:t>
            </w:r>
          </w:p>
          <w:p w:rsidR="00156EAC" w:rsidRPr="00866186" w:rsidRDefault="00156EAC" w:rsidP="00C27B67">
            <w:pPr>
              <w:contextualSpacing/>
              <w:jc w:val="both"/>
              <w:rPr>
                <w:rFonts w:asciiTheme="minorHAnsi" w:hAnsiTheme="minorHAnsi" w:cstheme="minorHAnsi"/>
                <w:color w:val="FF0000"/>
              </w:rPr>
            </w:pPr>
            <w:r w:rsidRPr="00866186">
              <w:rPr>
                <w:rFonts w:asciiTheme="minorHAnsi" w:hAnsiTheme="minorHAnsi" w:cstheme="minorHAnsi"/>
              </w:rPr>
              <w:t>Or si l’Europe n’est pas capable d’imposer çà à ses industriels exportateurs, comment pourrait-elle en attendre autre chose du reste du monde, d’où elle importe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u w:val="single"/>
              </w:rPr>
            </w:pP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ANNEXE 1</w:t>
            </w:r>
          </w:p>
          <w:p w:rsidR="00156EAC" w:rsidRPr="00866186" w:rsidRDefault="00156EAC" w:rsidP="00C27B67">
            <w:pPr>
              <w:contextualSpacing/>
              <w:jc w:val="both"/>
              <w:rPr>
                <w:rFonts w:asciiTheme="minorHAnsi" w:hAnsiTheme="minorHAnsi" w:cstheme="minorHAnsi"/>
                <w:i/>
                <w:u w:val="single"/>
              </w:rPr>
            </w:pPr>
            <w:r w:rsidRPr="00866186">
              <w:rPr>
                <w:rFonts w:asciiTheme="minorHAnsi" w:hAnsiTheme="minorHAnsi" w:cstheme="minorHAnsi"/>
                <w:i/>
              </w:rPr>
              <w:t xml:space="preserve"> Partie I</w:t>
            </w:r>
          </w:p>
        </w:tc>
        <w:tc>
          <w:tcPr>
            <w:tcW w:w="2519" w:type="pct"/>
            <w:shd w:val="clear" w:color="auto" w:fill="auto"/>
          </w:tcPr>
          <w:p w:rsidR="00156EAC" w:rsidRPr="00866186" w:rsidRDefault="00156EAC" w:rsidP="00C27B67">
            <w:pPr>
              <w:jc w:val="both"/>
              <w:rPr>
                <w:rFonts w:asciiTheme="minorHAnsi" w:hAnsiTheme="minorHAnsi" w:cstheme="minorHAnsi"/>
              </w:rPr>
            </w:pPr>
            <w:r w:rsidRPr="00866186">
              <w:rPr>
                <w:rFonts w:asciiTheme="minorHAnsi" w:hAnsiTheme="minorHAnsi" w:cstheme="minorHAnsi"/>
              </w:rPr>
              <w:t xml:space="preserve">Les solvants suivants sont </w:t>
            </w:r>
            <w:r w:rsidRPr="00866186">
              <w:rPr>
                <w:rFonts w:asciiTheme="minorHAnsi" w:hAnsiTheme="minorHAnsi" w:cstheme="minorHAnsi"/>
                <w:u w:val="single"/>
              </w:rPr>
              <w:t>autorisés, sans qu’une teneur maximale de leurs résidus ne soit clairement indiquée </w:t>
            </w:r>
            <w:r w:rsidRPr="00866186">
              <w:rPr>
                <w:rFonts w:asciiTheme="minorHAnsi" w:hAnsiTheme="minorHAnsi" w:cstheme="minorHAnsi"/>
              </w:rPr>
              <w:t>:</w:t>
            </w:r>
          </w:p>
          <w:p w:rsidR="00156EAC" w:rsidRPr="00866186" w:rsidRDefault="00654988" w:rsidP="00C27B67">
            <w:pPr>
              <w:numPr>
                <w:ilvl w:val="0"/>
                <w:numId w:val="2"/>
              </w:numPr>
              <w:jc w:val="both"/>
              <w:rPr>
                <w:rFonts w:asciiTheme="minorHAnsi" w:hAnsiTheme="minorHAnsi" w:cstheme="minorHAnsi"/>
              </w:rPr>
            </w:pPr>
            <w:hyperlink r:id="rId10" w:history="1">
              <w:r w:rsidR="00156EAC" w:rsidRPr="00866186">
                <w:rPr>
                  <w:rStyle w:val="Lienhypertexte"/>
                  <w:rFonts w:asciiTheme="minorHAnsi" w:hAnsiTheme="minorHAnsi" w:cstheme="minorHAnsi"/>
                </w:rPr>
                <w:t>Propane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1" w:history="1">
              <w:r w:rsidR="00156EAC" w:rsidRPr="00866186">
                <w:rPr>
                  <w:rStyle w:val="Lienhypertexte"/>
                  <w:rFonts w:asciiTheme="minorHAnsi" w:hAnsiTheme="minorHAnsi" w:cstheme="minorHAnsi"/>
                </w:rPr>
                <w:t>Butane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2" w:history="1">
              <w:r w:rsidR="00156EAC" w:rsidRPr="00866186">
                <w:rPr>
                  <w:rStyle w:val="Lienhypertexte"/>
                  <w:rFonts w:asciiTheme="minorHAnsi" w:hAnsiTheme="minorHAnsi" w:cstheme="minorHAnsi"/>
                </w:rPr>
                <w:t>Acétate d’éthyle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3" w:history="1">
              <w:r w:rsidR="00156EAC" w:rsidRPr="00866186">
                <w:rPr>
                  <w:rStyle w:val="Lienhypertexte"/>
                  <w:rFonts w:asciiTheme="minorHAnsi" w:hAnsiTheme="minorHAnsi" w:cstheme="minorHAnsi"/>
                </w:rPr>
                <w:t>Ethanol</w:t>
              </w:r>
            </w:hyperlink>
            <w:r w:rsidR="00156EAC" w:rsidRPr="00866186">
              <w:rPr>
                <w:rFonts w:asciiTheme="minorHAnsi" w:hAnsiTheme="minorHAnsi" w:cstheme="minorHAnsi"/>
              </w:rPr>
              <w:t xml:space="preserve"> (=alcool)</w:t>
            </w:r>
          </w:p>
          <w:p w:rsidR="00156EAC" w:rsidRPr="00866186" w:rsidRDefault="00654988" w:rsidP="00C27B67">
            <w:pPr>
              <w:numPr>
                <w:ilvl w:val="0"/>
                <w:numId w:val="2"/>
              </w:numPr>
              <w:jc w:val="both"/>
              <w:rPr>
                <w:rFonts w:asciiTheme="minorHAnsi" w:hAnsiTheme="minorHAnsi" w:cstheme="minorHAnsi"/>
              </w:rPr>
            </w:pPr>
            <w:hyperlink r:id="rId14" w:history="1">
              <w:r w:rsidR="00156EAC" w:rsidRPr="00866186">
                <w:rPr>
                  <w:rStyle w:val="Lienhypertexte"/>
                  <w:rFonts w:asciiTheme="minorHAnsi" w:hAnsiTheme="minorHAnsi" w:cstheme="minorHAnsi"/>
                </w:rPr>
                <w:t>Anhydride carbonique</w:t>
              </w:r>
            </w:hyperlink>
            <w:r w:rsidR="00156EAC" w:rsidRPr="00866186">
              <w:rPr>
                <w:rFonts w:asciiTheme="minorHAnsi" w:hAnsiTheme="minorHAnsi" w:cstheme="minorHAnsi"/>
              </w:rPr>
              <w:t xml:space="preserve"> (=gaz carbonique)</w:t>
            </w:r>
          </w:p>
          <w:p w:rsidR="00156EAC" w:rsidRPr="00866186" w:rsidRDefault="00654988" w:rsidP="00C27B67">
            <w:pPr>
              <w:numPr>
                <w:ilvl w:val="0"/>
                <w:numId w:val="2"/>
              </w:numPr>
              <w:jc w:val="both"/>
              <w:rPr>
                <w:rFonts w:asciiTheme="minorHAnsi" w:hAnsiTheme="minorHAnsi" w:cstheme="minorHAnsi"/>
              </w:rPr>
            </w:pPr>
            <w:hyperlink r:id="rId15" w:history="1">
              <w:r w:rsidR="00156EAC" w:rsidRPr="00866186">
                <w:rPr>
                  <w:rStyle w:val="Lienhypertexte"/>
                  <w:rFonts w:asciiTheme="minorHAnsi" w:hAnsiTheme="minorHAnsi" w:cstheme="minorHAnsi"/>
                </w:rPr>
                <w:t>Acétone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6" w:history="1">
              <w:r w:rsidR="00156EAC" w:rsidRPr="00866186">
                <w:rPr>
                  <w:rStyle w:val="Lienhypertexte"/>
                  <w:rFonts w:asciiTheme="minorHAnsi" w:hAnsiTheme="minorHAnsi" w:cstheme="minorHAnsi"/>
                </w:rPr>
                <w:t>Protoxyde d’azote</w:t>
              </w:r>
            </w:hyperlink>
            <w:r w:rsidR="00156EAC" w:rsidRPr="00866186">
              <w:rPr>
                <w:rFonts w:asciiTheme="minorHAnsi" w:hAnsiTheme="minorHAnsi" w:cstheme="minorHAnsi"/>
              </w:rPr>
              <w:t xml:space="preserve">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i/>
              </w:rPr>
              <w:t xml:space="preserve"> Partie II</w:t>
            </w:r>
          </w:p>
        </w:tc>
        <w:tc>
          <w:tcPr>
            <w:tcW w:w="2519" w:type="pct"/>
            <w:shd w:val="clear" w:color="auto" w:fill="auto"/>
          </w:tcPr>
          <w:p w:rsidR="00156EAC" w:rsidRPr="00866186" w:rsidRDefault="00156EAC" w:rsidP="00C27B67">
            <w:pPr>
              <w:jc w:val="both"/>
              <w:rPr>
                <w:rFonts w:asciiTheme="minorHAnsi" w:hAnsiTheme="minorHAnsi" w:cstheme="minorHAnsi"/>
              </w:rPr>
            </w:pPr>
            <w:r w:rsidRPr="00866186">
              <w:rPr>
                <w:rFonts w:asciiTheme="minorHAnsi" w:hAnsiTheme="minorHAnsi" w:cstheme="minorHAnsi"/>
              </w:rPr>
              <w:t xml:space="preserve">Les solvants suivants </w:t>
            </w:r>
            <w:r w:rsidR="00866186">
              <w:rPr>
                <w:rFonts w:asciiTheme="minorHAnsi" w:hAnsiTheme="minorHAnsi" w:cstheme="minorHAnsi"/>
                <w:u w:val="single"/>
              </w:rPr>
              <w:t>sont autorisé</w:t>
            </w:r>
            <w:r w:rsidRPr="00866186">
              <w:rPr>
                <w:rFonts w:asciiTheme="minorHAnsi" w:hAnsiTheme="minorHAnsi" w:cstheme="minorHAnsi"/>
                <w:u w:val="single"/>
              </w:rPr>
              <w:t xml:space="preserve">s </w:t>
            </w:r>
            <w:r w:rsidR="00866186">
              <w:rPr>
                <w:rFonts w:asciiTheme="minorHAnsi" w:hAnsiTheme="minorHAnsi" w:cstheme="minorHAnsi"/>
              </w:rPr>
              <w:t xml:space="preserve">avec mention d’une </w:t>
            </w:r>
            <w:r w:rsidRPr="00866186">
              <w:rPr>
                <w:rFonts w:asciiTheme="minorHAnsi" w:hAnsiTheme="minorHAnsi" w:cstheme="minorHAnsi"/>
              </w:rPr>
              <w:t>teneur maximale de leurs résidus :</w:t>
            </w:r>
          </w:p>
          <w:p w:rsidR="00156EAC" w:rsidRPr="00866186" w:rsidRDefault="00654988" w:rsidP="00C27B67">
            <w:pPr>
              <w:numPr>
                <w:ilvl w:val="0"/>
                <w:numId w:val="2"/>
              </w:numPr>
              <w:jc w:val="both"/>
              <w:rPr>
                <w:rFonts w:asciiTheme="minorHAnsi" w:hAnsiTheme="minorHAnsi" w:cstheme="minorHAnsi"/>
              </w:rPr>
            </w:pPr>
            <w:hyperlink r:id="rId17" w:history="1">
              <w:r w:rsidR="00156EAC" w:rsidRPr="00866186">
                <w:rPr>
                  <w:rStyle w:val="Lienhypertexte"/>
                  <w:rFonts w:asciiTheme="minorHAnsi" w:hAnsiTheme="minorHAnsi" w:cstheme="minorHAnsi"/>
                </w:rPr>
                <w:t>Hexane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8" w:history="1">
              <w:r w:rsidR="00156EAC" w:rsidRPr="00866186">
                <w:rPr>
                  <w:rStyle w:val="Lienhypertexte"/>
                  <w:rFonts w:asciiTheme="minorHAnsi" w:hAnsiTheme="minorHAnsi" w:cstheme="minorHAnsi"/>
                </w:rPr>
                <w:t>Acétate de méthyle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19" w:history="1">
              <w:r w:rsidR="00156EAC" w:rsidRPr="00866186">
                <w:rPr>
                  <w:rStyle w:val="Lienhypertexte"/>
                  <w:rFonts w:asciiTheme="minorHAnsi" w:hAnsiTheme="minorHAnsi" w:cstheme="minorHAnsi"/>
                </w:rPr>
                <w:t>Méthyl-</w:t>
              </w:r>
              <w:proofErr w:type="spellStart"/>
              <w:r w:rsidR="00156EAC" w:rsidRPr="00866186">
                <w:rPr>
                  <w:rStyle w:val="Lienhypertexte"/>
                  <w:rFonts w:asciiTheme="minorHAnsi" w:hAnsiTheme="minorHAnsi" w:cstheme="minorHAnsi"/>
                </w:rPr>
                <w:t>éthyl</w:t>
              </w:r>
              <w:proofErr w:type="spellEnd"/>
              <w:r w:rsidR="00156EAC" w:rsidRPr="00866186">
                <w:rPr>
                  <w:rStyle w:val="Lienhypertexte"/>
                  <w:rFonts w:asciiTheme="minorHAnsi" w:hAnsiTheme="minorHAnsi" w:cstheme="minorHAnsi"/>
                </w:rPr>
                <w:t>-cétone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0" w:history="1">
              <w:r w:rsidR="00156EAC" w:rsidRPr="00866186">
                <w:rPr>
                  <w:rStyle w:val="Lienhypertexte"/>
                  <w:rFonts w:asciiTheme="minorHAnsi" w:hAnsiTheme="minorHAnsi" w:cstheme="minorHAnsi"/>
                </w:rPr>
                <w:t>Dichlorométhane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1" w:history="1">
              <w:r w:rsidR="00156EAC" w:rsidRPr="00866186">
                <w:rPr>
                  <w:rStyle w:val="Lienhypertexte"/>
                  <w:rFonts w:asciiTheme="minorHAnsi" w:hAnsiTheme="minorHAnsi" w:cstheme="minorHAnsi"/>
                </w:rPr>
                <w:t>Méthanol</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2" w:history="1">
              <w:r w:rsidR="00156EAC" w:rsidRPr="00866186">
                <w:rPr>
                  <w:rStyle w:val="Lienhypertexte"/>
                  <w:rFonts w:asciiTheme="minorHAnsi" w:hAnsiTheme="minorHAnsi" w:cstheme="minorHAnsi"/>
                </w:rPr>
                <w:t>Propanol-1</w:t>
              </w:r>
            </w:hyperlink>
          </w:p>
          <w:p w:rsidR="00156EAC" w:rsidRPr="00866186" w:rsidRDefault="00654988" w:rsidP="00C27B67">
            <w:pPr>
              <w:numPr>
                <w:ilvl w:val="0"/>
                <w:numId w:val="2"/>
              </w:numPr>
              <w:jc w:val="both"/>
              <w:rPr>
                <w:rFonts w:asciiTheme="minorHAnsi" w:hAnsiTheme="minorHAnsi" w:cstheme="minorHAnsi"/>
              </w:rPr>
            </w:pPr>
            <w:hyperlink r:id="rId23" w:history="1">
              <w:r w:rsidR="00156EAC" w:rsidRPr="00866186">
                <w:rPr>
                  <w:rStyle w:val="Lienhypertexte"/>
                  <w:rFonts w:asciiTheme="minorHAnsi" w:hAnsiTheme="minorHAnsi" w:cstheme="minorHAnsi"/>
                </w:rPr>
                <w:t>Propanol-2</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4" w:history="1">
              <w:r w:rsidR="00156EAC" w:rsidRPr="00866186">
                <w:rPr>
                  <w:rStyle w:val="Lienhypertexte"/>
                  <w:rFonts w:asciiTheme="minorHAnsi" w:hAnsiTheme="minorHAnsi" w:cstheme="minorHAnsi"/>
                </w:rPr>
                <w:t xml:space="preserve">Ether </w:t>
              </w:r>
              <w:proofErr w:type="spellStart"/>
              <w:r w:rsidR="00156EAC" w:rsidRPr="00866186">
                <w:rPr>
                  <w:rStyle w:val="Lienhypertexte"/>
                  <w:rFonts w:asciiTheme="minorHAnsi" w:hAnsiTheme="minorHAnsi" w:cstheme="minorHAnsi"/>
                </w:rPr>
                <w:t>diéthylique</w:t>
              </w:r>
              <w:proofErr w:type="spellEnd"/>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5" w:history="1">
              <w:r w:rsidR="00156EAC" w:rsidRPr="00866186">
                <w:rPr>
                  <w:rStyle w:val="Lienhypertexte"/>
                  <w:rFonts w:asciiTheme="minorHAnsi" w:hAnsiTheme="minorHAnsi" w:cstheme="minorHAnsi"/>
                </w:rPr>
                <w:t>Cyclohexane</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6" w:history="1">
              <w:r w:rsidR="00156EAC" w:rsidRPr="00866186">
                <w:rPr>
                  <w:rStyle w:val="Lienhypertexte"/>
                  <w:rFonts w:asciiTheme="minorHAnsi" w:hAnsiTheme="minorHAnsi" w:cstheme="minorHAnsi"/>
                </w:rPr>
                <w:t>Butanol-1</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7" w:history="1">
              <w:r w:rsidR="00156EAC" w:rsidRPr="00866186">
                <w:rPr>
                  <w:rStyle w:val="Lienhypertexte"/>
                  <w:rFonts w:asciiTheme="minorHAnsi" w:hAnsiTheme="minorHAnsi" w:cstheme="minorHAnsi"/>
                </w:rPr>
                <w:t>Butanol-2</w:t>
              </w:r>
            </w:hyperlink>
            <w:r w:rsidR="00156EAC" w:rsidRPr="00866186">
              <w:rPr>
                <w:rFonts w:asciiTheme="minorHAnsi" w:hAnsiTheme="minorHAnsi" w:cstheme="minorHAnsi"/>
              </w:rPr>
              <w:t xml:space="preserve"> </w:t>
            </w:r>
          </w:p>
          <w:p w:rsidR="00156EAC" w:rsidRPr="00866186" w:rsidRDefault="00654988" w:rsidP="00C27B67">
            <w:pPr>
              <w:numPr>
                <w:ilvl w:val="0"/>
                <w:numId w:val="2"/>
              </w:numPr>
              <w:jc w:val="both"/>
              <w:rPr>
                <w:rFonts w:asciiTheme="minorHAnsi" w:hAnsiTheme="minorHAnsi" w:cstheme="minorHAnsi"/>
              </w:rPr>
            </w:pPr>
            <w:hyperlink r:id="rId28" w:history="1">
              <w:r w:rsidR="00156EAC" w:rsidRPr="00866186">
                <w:rPr>
                  <w:rStyle w:val="Lienhypertexte"/>
                  <w:rFonts w:asciiTheme="minorHAnsi" w:hAnsiTheme="minorHAnsi" w:cstheme="minorHAnsi"/>
                </w:rPr>
                <w:t>1,1,1,2-tétrafluoroéthane</w:t>
              </w:r>
            </w:hyperlink>
            <w:r w:rsidR="00156EAC" w:rsidRPr="00866186">
              <w:rPr>
                <w:rFonts w:asciiTheme="minorHAnsi" w:hAnsiTheme="minorHAnsi" w:cstheme="minorHAnsi"/>
              </w:rPr>
              <w:t xml:space="preserve">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lastRenderedPageBreak/>
              <w:t>(…)</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ANNEXE 2</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rPr>
              <w:t xml:space="preserve"> Partie B</w:t>
            </w: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i/>
              </w:rPr>
              <w:t xml:space="preserve">  Renvoi (2)</w:t>
            </w:r>
          </w:p>
          <w:p w:rsidR="00156EAC" w:rsidRPr="00866186" w:rsidRDefault="00156EAC" w:rsidP="00C27B67">
            <w:pPr>
              <w:contextualSpacing/>
              <w:jc w:val="both"/>
              <w:rPr>
                <w:rFonts w:asciiTheme="minorHAnsi" w:hAnsiTheme="minorHAnsi" w:cstheme="minorHAnsi"/>
                <w:b/>
                <w:i/>
                <w:color w:val="19161A"/>
                <w:u w:val="single"/>
              </w:rPr>
            </w:pPr>
            <w:proofErr w:type="gramStart"/>
            <w:r w:rsidRPr="00866186">
              <w:rPr>
                <w:rFonts w:asciiTheme="minorHAnsi" w:hAnsiTheme="minorHAnsi" w:cstheme="minorHAnsi"/>
                <w:i/>
                <w:color w:val="19161A"/>
              </w:rPr>
              <w:t>interdire</w:t>
            </w:r>
            <w:proofErr w:type="gramEnd"/>
            <w:r w:rsidRPr="00866186">
              <w:rPr>
                <w:rFonts w:asciiTheme="minorHAnsi" w:hAnsiTheme="minorHAnsi" w:cstheme="minorHAnsi"/>
                <w:i/>
                <w:color w:val="19161A"/>
              </w:rPr>
              <w:t xml:space="preserve"> la commercialisation des produits non conformes à la directive 88/344/CEE, telle que modifiée par la présente directive, à partir du 27 avril 1999. Toutefois,</w:t>
            </w:r>
            <w:r w:rsidRPr="00866186">
              <w:rPr>
                <w:rFonts w:asciiTheme="minorHAnsi" w:hAnsiTheme="minorHAnsi" w:cstheme="minorHAnsi"/>
                <w:i/>
                <w:color w:val="19161A"/>
                <w:u w:val="single"/>
              </w:rPr>
              <w:t xml:space="preserve"> les produits mis sur le marché ou étiquetés avant cette date et non conformes à la directive 88/344/CEE</w:t>
            </w:r>
            <w:r w:rsidRPr="00866186">
              <w:rPr>
                <w:rFonts w:asciiTheme="minorHAnsi" w:hAnsiTheme="minorHAnsi" w:cstheme="minorHAnsi"/>
                <w:i/>
                <w:color w:val="19161A"/>
              </w:rPr>
              <w:t>, telle que modifiée par la présente directive,</w:t>
            </w:r>
            <w:r w:rsidRPr="00866186">
              <w:rPr>
                <w:rFonts w:asciiTheme="minorHAnsi" w:hAnsiTheme="minorHAnsi" w:cstheme="minorHAnsi"/>
                <w:i/>
                <w:color w:val="19161A"/>
                <w:u w:val="single"/>
              </w:rPr>
              <w:t xml:space="preserve"> peuvent être commercialisés jusqu'à épuisement des stocks</w:t>
            </w:r>
            <w:proofErr w:type="gramStart"/>
            <w:r w:rsidRPr="00866186">
              <w:rPr>
                <w:rFonts w:asciiTheme="minorHAnsi" w:hAnsiTheme="minorHAnsi" w:cstheme="minorHAnsi"/>
                <w:i/>
                <w:color w:val="19161A"/>
                <w:u w:val="single"/>
              </w:rPr>
              <w:t>.»</w:t>
            </w:r>
            <w:proofErr w:type="gramEnd"/>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color w:val="19161A"/>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Idem 97/60/CE. Si on peut continuer à écouler les produits conformes à la directive de 1988, c’est qu’ils ne doivent pas être dangereux. Alors dans cette hypothèse, pourquoi avoir jugé nécessaire de modifier cette directive</w:t>
            </w:r>
            <w:r w:rsidR="00866186">
              <w:rPr>
                <w:rFonts w:asciiTheme="minorHAnsi" w:hAnsiTheme="minorHAnsi" w:cstheme="minorHAnsi"/>
              </w:rPr>
              <w:t xml:space="preserve"> </w:t>
            </w:r>
            <w:r w:rsidRPr="00866186">
              <w:rPr>
                <w:rFonts w:asciiTheme="minorHAnsi" w:hAnsiTheme="minorHAnsi" w:cstheme="minorHAnsi"/>
              </w:rPr>
              <w:t>?</w:t>
            </w: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866186" w:rsidP="00C27B67">
            <w:pPr>
              <w:contextualSpacing/>
              <w:jc w:val="both"/>
              <w:rPr>
                <w:rFonts w:asciiTheme="minorHAnsi" w:hAnsiTheme="minorHAnsi" w:cstheme="minorHAnsi"/>
              </w:rPr>
            </w:pPr>
            <w:r>
              <w:rPr>
                <w:rFonts w:asciiTheme="minorHAnsi" w:hAnsiTheme="minorHAnsi" w:cstheme="minorHAnsi"/>
              </w:rPr>
              <w:t>É</w:t>
            </w:r>
            <w:r w:rsidR="00156EAC" w:rsidRPr="00866186">
              <w:rPr>
                <w:rFonts w:asciiTheme="minorHAnsi" w:hAnsiTheme="minorHAnsi" w:cstheme="minorHAnsi"/>
              </w:rPr>
              <w:t>couler les stocks doit probablement constituer un bénéfice pour le consommateur…</w:t>
            </w:r>
          </w:p>
        </w:tc>
      </w:tr>
      <w:tr w:rsidR="00866186" w:rsidRPr="00866186" w:rsidTr="00866186">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29" w:history="1">
              <w:r w:rsidR="00156EAC" w:rsidRPr="00866186">
                <w:rPr>
                  <w:rStyle w:val="Lienhypertexte"/>
                  <w:rFonts w:asciiTheme="minorHAnsi" w:hAnsiTheme="minorHAnsi" w:cstheme="minorHAnsi"/>
                  <w:b/>
                </w:rPr>
                <w:t>Directive 2010/59/UE </w:t>
              </w:r>
            </w:hyperlink>
            <w:r w:rsidR="00156EAC" w:rsidRPr="00866186">
              <w:rPr>
                <w:rFonts w:asciiTheme="minorHAnsi" w:hAnsiTheme="minorHAnsi" w:cstheme="minorHAnsi"/>
              </w:rPr>
              <w:t>(3 pages) :</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Modifie la Directive 2009/32/CE</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u w:val="single"/>
              </w:rPr>
            </w:pPr>
            <w:r w:rsidRPr="00866186">
              <w:rPr>
                <w:rFonts w:asciiTheme="minorHAnsi" w:hAnsiTheme="minorHAnsi" w:cstheme="minorHAnsi"/>
                <w:i/>
              </w:rPr>
              <w:t xml:space="preserve">1. </w:t>
            </w:r>
            <w:r w:rsidRPr="00866186">
              <w:rPr>
                <w:rFonts w:asciiTheme="minorHAnsi" w:hAnsiTheme="minorHAnsi" w:cstheme="minorHAnsi"/>
                <w:i/>
                <w:color w:val="19161A"/>
              </w:rPr>
              <w:t>La directive 2009/32/CE s'applique aux solvants d'extraction utilisés ou destinés à être utilisés dans la fabrication des denrées alimentaires ou de leurs ingrédients. Elle ne s'applique pas aux solvants d'extraction utilisés pour la production d'additifs alimentaires, de vitamines et d'autres additifs nutritionnels, sauf si ces additifs alimentaires, vitamines ou autres additifs nutritionnels figurent sur une des listes de son annexe I</w:t>
            </w:r>
            <w:r w:rsidRPr="00866186">
              <w:rPr>
                <w:rFonts w:asciiTheme="minorHAnsi" w:hAnsiTheme="minorHAnsi" w:cstheme="minorHAnsi"/>
                <w:i/>
                <w:color w:val="19161A"/>
                <w:u w:val="single"/>
              </w:rPr>
              <w:t>. L'Autorité européenne de sécurité des aliments (ci-après</w:t>
            </w:r>
            <w:r w:rsidR="00866186">
              <w:rPr>
                <w:rFonts w:asciiTheme="minorHAnsi" w:hAnsiTheme="minorHAnsi" w:cstheme="minorHAnsi"/>
                <w:i/>
                <w:color w:val="19161A"/>
                <w:u w:val="single"/>
              </w:rPr>
              <w:t xml:space="preserve"> </w:t>
            </w:r>
            <w:r w:rsidRPr="00866186">
              <w:rPr>
                <w:rFonts w:asciiTheme="minorHAnsi" w:hAnsiTheme="minorHAnsi" w:cstheme="minorHAnsi"/>
                <w:i/>
                <w:color w:val="19161A"/>
                <w:u w:val="single"/>
              </w:rPr>
              <w:t>:</w:t>
            </w:r>
            <w:proofErr w:type="gramStart"/>
            <w:r w:rsidRPr="00866186">
              <w:rPr>
                <w:rFonts w:asciiTheme="minorHAnsi" w:hAnsiTheme="minorHAnsi" w:cstheme="minorHAnsi"/>
                <w:i/>
                <w:color w:val="19161A"/>
                <w:u w:val="single"/>
              </w:rPr>
              <w:t xml:space="preserve"> «l'Autorité</w:t>
            </w:r>
            <w:proofErr w:type="gramEnd"/>
            <w:r w:rsidRPr="00866186">
              <w:rPr>
                <w:rFonts w:asciiTheme="minorHAnsi" w:hAnsiTheme="minorHAnsi" w:cstheme="minorHAnsi"/>
                <w:i/>
                <w:color w:val="19161A"/>
                <w:u w:val="single"/>
              </w:rPr>
              <w:t xml:space="preserve">») a évalué la sécurité de l’éther </w:t>
            </w:r>
            <w:proofErr w:type="spellStart"/>
            <w:r w:rsidRPr="00866186">
              <w:rPr>
                <w:rFonts w:asciiTheme="minorHAnsi" w:hAnsiTheme="minorHAnsi" w:cstheme="minorHAnsi"/>
                <w:i/>
                <w:color w:val="19161A"/>
                <w:u w:val="single"/>
              </w:rPr>
              <w:t>diméthylique</w:t>
            </w:r>
            <w:proofErr w:type="spellEnd"/>
            <w:r w:rsidRPr="00866186">
              <w:rPr>
                <w:rFonts w:asciiTheme="minorHAnsi" w:hAnsiTheme="minorHAnsi" w:cstheme="minorHAnsi"/>
                <w:i/>
                <w:color w:val="19161A"/>
                <w:u w:val="single"/>
              </w:rPr>
              <w:t xml:space="preserve"> en tant que solvant d’extraction utilisé pour dégraisser des matières premières à base de protéines </w:t>
            </w:r>
            <w:r w:rsidRPr="00866186">
              <w:rPr>
                <w:rFonts w:asciiTheme="minorHAnsi" w:hAnsiTheme="minorHAnsi" w:cstheme="minorHAnsi"/>
                <w:i/>
                <w:color w:val="19161A"/>
              </w:rPr>
              <w:t>animales et a rendu son avis le 29 janvier 2009 (</w:t>
            </w:r>
            <w:r w:rsidRPr="00866186">
              <w:rPr>
                <w:rFonts w:asciiTheme="minorHAnsi" w:hAnsiTheme="minorHAnsi" w:cstheme="minorHAnsi"/>
                <w:i/>
                <w:iCs/>
                <w:vertAlign w:val="superscript"/>
              </w:rPr>
              <w:t>2</w:t>
            </w:r>
            <w:r w:rsidRPr="00866186">
              <w:rPr>
                <w:rFonts w:asciiTheme="minorHAnsi" w:hAnsiTheme="minorHAnsi" w:cstheme="minorHAnsi"/>
                <w:i/>
                <w:color w:val="19161A"/>
              </w:rPr>
              <w:t>)</w:t>
            </w:r>
            <w:r w:rsidRPr="00866186">
              <w:rPr>
                <w:rFonts w:asciiTheme="minorHAnsi" w:hAnsiTheme="minorHAnsi" w:cstheme="minorHAnsi"/>
                <w:i/>
                <w:color w:val="19161A"/>
                <w:u w:val="single"/>
              </w:rPr>
              <w:t xml:space="preserve">. L'Autorité a conclu à l'absence de danger, pour autant que la teneur maximale en résidus d'éther </w:t>
            </w:r>
            <w:proofErr w:type="spellStart"/>
            <w:r w:rsidRPr="00866186">
              <w:rPr>
                <w:rFonts w:asciiTheme="minorHAnsi" w:hAnsiTheme="minorHAnsi" w:cstheme="minorHAnsi"/>
                <w:i/>
                <w:color w:val="19161A"/>
                <w:u w:val="single"/>
              </w:rPr>
              <w:t>diméthylique</w:t>
            </w:r>
            <w:proofErr w:type="spellEnd"/>
            <w:r w:rsidRPr="00866186">
              <w:rPr>
                <w:rFonts w:asciiTheme="minorHAnsi" w:hAnsiTheme="minorHAnsi" w:cstheme="minorHAnsi"/>
                <w:i/>
                <w:color w:val="19161A"/>
                <w:u w:val="single"/>
              </w:rPr>
              <w:t xml:space="preserve"> soit de 9 μg/kg de protéines animales extraites. Par conséquent, il y a lieu d'autoriser l'utilisation de l’éther </w:t>
            </w:r>
            <w:proofErr w:type="spellStart"/>
            <w:r w:rsidRPr="00866186">
              <w:rPr>
                <w:rFonts w:asciiTheme="minorHAnsi" w:hAnsiTheme="minorHAnsi" w:cstheme="minorHAnsi"/>
                <w:i/>
                <w:color w:val="19161A"/>
                <w:u w:val="single"/>
              </w:rPr>
              <w:t>diméthylique</w:t>
            </w:r>
            <w:proofErr w:type="spellEnd"/>
            <w:r w:rsidRPr="00866186">
              <w:rPr>
                <w:rFonts w:asciiTheme="minorHAnsi" w:hAnsiTheme="minorHAnsi" w:cstheme="minorHAnsi"/>
                <w:i/>
                <w:color w:val="19161A"/>
                <w:u w:val="single"/>
              </w:rPr>
              <w:t xml:space="preserve"> en tant que solvant d’extraction servant à dégraisser des matières premières à base de protéines animales, à condition que la teneur maximale en résidus d'éther </w:t>
            </w:r>
            <w:proofErr w:type="spellStart"/>
            <w:r w:rsidRPr="00866186">
              <w:rPr>
                <w:rFonts w:asciiTheme="minorHAnsi" w:hAnsiTheme="minorHAnsi" w:cstheme="minorHAnsi"/>
                <w:i/>
                <w:color w:val="19161A"/>
                <w:u w:val="single"/>
              </w:rPr>
              <w:t>diméthylique</w:t>
            </w:r>
            <w:proofErr w:type="spellEnd"/>
            <w:r w:rsidRPr="00866186">
              <w:rPr>
                <w:rFonts w:asciiTheme="minorHAnsi" w:hAnsiTheme="minorHAnsi" w:cstheme="minorHAnsi"/>
                <w:i/>
                <w:color w:val="19161A"/>
                <w:u w:val="single"/>
              </w:rPr>
              <w:t xml:space="preserve"> dans le produit à base de protéines dégraissées ne dépasse pas 9 μg/kg.</w:t>
            </w:r>
          </w:p>
          <w:p w:rsidR="00156EAC" w:rsidRPr="00866186" w:rsidRDefault="00156EAC" w:rsidP="00C27B67">
            <w:pPr>
              <w:contextualSpacing/>
              <w:jc w:val="both"/>
              <w:rPr>
                <w:rFonts w:asciiTheme="minorHAnsi" w:hAnsiTheme="minorHAnsi" w:cstheme="minorHAnsi"/>
                <w:color w:val="19161A"/>
                <w:u w:val="single"/>
              </w:rPr>
            </w:pPr>
          </w:p>
          <w:p w:rsidR="00156EAC" w:rsidRPr="00866186" w:rsidRDefault="00156EAC" w:rsidP="00C27B67">
            <w:pPr>
              <w:ind w:left="720" w:hanging="436"/>
              <w:contextualSpacing/>
              <w:jc w:val="both"/>
              <w:rPr>
                <w:rFonts w:asciiTheme="minorHAnsi" w:hAnsiTheme="minorHAnsi" w:cstheme="minorHAnsi"/>
                <w:i/>
                <w:color w:val="19161A"/>
              </w:rPr>
            </w:pPr>
            <w:r w:rsidRPr="00866186">
              <w:rPr>
                <w:rFonts w:asciiTheme="minorHAnsi" w:hAnsiTheme="minorHAnsi" w:cstheme="minorHAnsi"/>
                <w:i/>
                <w:iCs/>
              </w:rPr>
              <w:t>(</w:t>
            </w:r>
            <w:r w:rsidRPr="00866186">
              <w:rPr>
                <w:rFonts w:asciiTheme="minorHAnsi" w:hAnsiTheme="minorHAnsi" w:cstheme="minorHAnsi"/>
                <w:i/>
                <w:iCs/>
                <w:vertAlign w:val="superscript"/>
              </w:rPr>
              <w:t>2</w:t>
            </w:r>
            <w:r w:rsidRPr="00866186">
              <w:rPr>
                <w:rFonts w:asciiTheme="minorHAnsi" w:hAnsiTheme="minorHAnsi" w:cstheme="minorHAnsi"/>
                <w:i/>
                <w:iCs/>
              </w:rPr>
              <w:t>)</w:t>
            </w:r>
            <w:r w:rsidRPr="00866186">
              <w:rPr>
                <w:rFonts w:asciiTheme="minorHAnsi" w:hAnsiTheme="minorHAnsi" w:cstheme="minorHAnsi"/>
                <w:i/>
              </w:rPr>
              <w:t xml:space="preserve"> </w:t>
            </w:r>
            <w:r w:rsidRPr="00866186">
              <w:rPr>
                <w:rFonts w:asciiTheme="minorHAnsi" w:hAnsiTheme="minorHAnsi" w:cstheme="minorHAnsi"/>
                <w:i/>
                <w:color w:val="19161A"/>
                <w:u w:val="single"/>
              </w:rPr>
              <w:t>Avis scientifique</w:t>
            </w:r>
            <w:r w:rsidRPr="00866186">
              <w:rPr>
                <w:rFonts w:asciiTheme="minorHAnsi" w:hAnsiTheme="minorHAnsi" w:cstheme="minorHAnsi"/>
                <w:i/>
                <w:color w:val="19161A"/>
              </w:rPr>
              <w:t xml:space="preserve"> concernant la sécurité de l’utilisation de l’éther </w:t>
            </w:r>
            <w:proofErr w:type="spellStart"/>
            <w:r w:rsidRPr="00866186">
              <w:rPr>
                <w:rFonts w:asciiTheme="minorHAnsi" w:hAnsiTheme="minorHAnsi" w:cstheme="minorHAnsi"/>
                <w:i/>
                <w:color w:val="19161A"/>
              </w:rPr>
              <w:t>diméthylique</w:t>
            </w:r>
            <w:proofErr w:type="spellEnd"/>
            <w:r w:rsidRPr="00866186">
              <w:rPr>
                <w:rFonts w:asciiTheme="minorHAnsi" w:hAnsiTheme="minorHAnsi" w:cstheme="minorHAnsi"/>
                <w:i/>
                <w:color w:val="19161A"/>
              </w:rPr>
              <w:t xml:space="preserve"> en tant que solvant d’extraction rendu, à la demande de la Commission européenne, par le groupe </w:t>
            </w:r>
            <w:r w:rsidRPr="00866186">
              <w:rPr>
                <w:rFonts w:asciiTheme="minorHAnsi" w:hAnsiTheme="minorHAnsi" w:cstheme="minorHAnsi"/>
                <w:i/>
                <w:color w:val="19161A"/>
              </w:rPr>
              <w:lastRenderedPageBreak/>
              <w:t xml:space="preserve">scientifique sur les matériaux en contact avec les aliments, les enzymes, les arômes et les auxiliaires technologiques (groupe CEF). </w:t>
            </w:r>
            <w:r w:rsidRPr="00866186">
              <w:rPr>
                <w:rFonts w:asciiTheme="minorHAnsi" w:hAnsiTheme="minorHAnsi" w:cstheme="minorHAnsi"/>
                <w:i/>
                <w:iCs/>
                <w:color w:val="19161A"/>
              </w:rPr>
              <w:t xml:space="preserve">The EFSA Journal </w:t>
            </w:r>
            <w:r w:rsidRPr="00866186">
              <w:rPr>
                <w:rFonts w:asciiTheme="minorHAnsi" w:hAnsiTheme="minorHAnsi" w:cstheme="minorHAnsi"/>
                <w:i/>
                <w:color w:val="19161A"/>
              </w:rPr>
              <w:t>(2009) 983, 1-13.</w:t>
            </w:r>
          </w:p>
          <w:p w:rsidR="00156EAC" w:rsidRPr="00866186" w:rsidRDefault="00156EAC" w:rsidP="00C27B67">
            <w:pPr>
              <w:contextualSpacing/>
              <w:jc w:val="both"/>
              <w:rPr>
                <w:rFonts w:asciiTheme="minorHAnsi" w:hAnsiTheme="minorHAnsi" w:cstheme="minorHAnsi"/>
                <w:color w:val="19161A"/>
                <w:u w:val="single"/>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Et pour quelle raison mystérieuse cette « autorité » européenne aurait subitement décidé de s’intéresser à ce solvant ? Nous devrions le savoir grâce à la directive suivante ((UE) 2016/</w:t>
            </w:r>
            <w:proofErr w:type="gramStart"/>
            <w:r w:rsidRPr="00866186">
              <w:rPr>
                <w:rFonts w:asciiTheme="minorHAnsi" w:hAnsiTheme="minorHAnsi" w:cstheme="minorHAnsi"/>
              </w:rPr>
              <w:t>1855)…</w:t>
            </w:r>
            <w:proofErr w:type="gramEnd"/>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Un</w:t>
            </w:r>
            <w:r w:rsidR="00866186">
              <w:rPr>
                <w:rFonts w:asciiTheme="minorHAnsi" w:hAnsiTheme="minorHAnsi" w:cstheme="minorHAnsi"/>
              </w:rPr>
              <w:t xml:space="preserve"> nouveau</w:t>
            </w:r>
            <w:r w:rsidRPr="00866186">
              <w:rPr>
                <w:rFonts w:asciiTheme="minorHAnsi" w:hAnsiTheme="minorHAnsi" w:cstheme="minorHAnsi"/>
              </w:rPr>
              <w:t xml:space="preserve"> solvant est donc ajouté à la liste de ceux déjà autorisés avec mention d’une une teneur maximale de résidus :</w:t>
            </w:r>
          </w:p>
          <w:p w:rsidR="00156EAC" w:rsidRPr="00866186" w:rsidRDefault="00654988" w:rsidP="00C27B67">
            <w:pPr>
              <w:numPr>
                <w:ilvl w:val="0"/>
                <w:numId w:val="3"/>
              </w:numPr>
              <w:contextualSpacing/>
              <w:jc w:val="both"/>
              <w:rPr>
                <w:rFonts w:asciiTheme="minorHAnsi" w:hAnsiTheme="minorHAnsi" w:cstheme="minorHAnsi"/>
              </w:rPr>
            </w:pPr>
            <w:hyperlink r:id="rId30" w:history="1">
              <w:r w:rsidR="00156EAC" w:rsidRPr="00866186">
                <w:rPr>
                  <w:rStyle w:val="Lienhypertexte"/>
                  <w:rFonts w:asciiTheme="minorHAnsi" w:hAnsiTheme="minorHAnsi" w:cstheme="minorHAnsi"/>
                </w:rPr>
                <w:t xml:space="preserve">Ether </w:t>
              </w:r>
              <w:proofErr w:type="spellStart"/>
              <w:r w:rsidR="00156EAC" w:rsidRPr="00866186">
                <w:rPr>
                  <w:rStyle w:val="Lienhypertexte"/>
                  <w:rFonts w:asciiTheme="minorHAnsi" w:hAnsiTheme="minorHAnsi" w:cstheme="minorHAnsi"/>
                </w:rPr>
                <w:t>diméthylique</w:t>
              </w:r>
              <w:proofErr w:type="spellEnd"/>
            </w:hyperlink>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866186" w:rsidRDefault="00866186" w:rsidP="00C27B67">
            <w:pPr>
              <w:contextualSpacing/>
              <w:jc w:val="both"/>
              <w:rPr>
                <w:rFonts w:asciiTheme="minorHAnsi" w:hAnsiTheme="minorHAnsi" w:cstheme="minorHAnsi"/>
              </w:rPr>
            </w:pPr>
          </w:p>
          <w:p w:rsidR="00866186" w:rsidRDefault="00866186" w:rsidP="00C27B67">
            <w:pPr>
              <w:contextualSpacing/>
              <w:jc w:val="both"/>
              <w:rPr>
                <w:rFonts w:asciiTheme="minorHAnsi" w:hAnsiTheme="minorHAnsi" w:cstheme="minorHAnsi"/>
              </w:rPr>
            </w:pPr>
          </w:p>
          <w:p w:rsidR="00866186" w:rsidRDefault="00866186"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Quelle est la validité de ces « avis scientifiques » ? (</w:t>
            </w:r>
            <w:proofErr w:type="gramStart"/>
            <w:r w:rsidR="00654988">
              <w:rPr>
                <w:rFonts w:asciiTheme="minorHAnsi" w:hAnsiTheme="minorHAnsi" w:cstheme="minorHAnsi"/>
              </w:rPr>
              <w:t>cf.</w:t>
            </w:r>
            <w:proofErr w:type="gramEnd"/>
            <w:r w:rsidR="00654988">
              <w:rPr>
                <w:rFonts w:asciiTheme="minorHAnsi" w:hAnsiTheme="minorHAnsi" w:cstheme="minorHAnsi"/>
              </w:rPr>
              <w:t xml:space="preserve"> note </w:t>
            </w:r>
            <w:r w:rsidRPr="00866186">
              <w:rPr>
                <w:rFonts w:asciiTheme="minorHAnsi" w:hAnsiTheme="minorHAnsi" w:cstheme="minorHAnsi"/>
              </w:rPr>
              <w:t>7</w:t>
            </w:r>
            <w:r w:rsidR="00654988">
              <w:rPr>
                <w:rFonts w:asciiTheme="minorHAnsi" w:hAnsiTheme="minorHAnsi" w:cstheme="minorHAnsi"/>
              </w:rPr>
              <w:t xml:space="preserve"> en fin de dossier</w:t>
            </w:r>
            <w:r w:rsidRPr="00866186">
              <w:rPr>
                <w:rFonts w:asciiTheme="minorHAnsi" w:hAnsiTheme="minorHAnsi" w:cstheme="minorHAnsi"/>
              </w:rPr>
              <w:t>)</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u w:val="single"/>
              </w:rPr>
            </w:pPr>
            <w:r w:rsidRPr="00866186">
              <w:rPr>
                <w:rFonts w:asciiTheme="minorHAnsi" w:hAnsiTheme="minorHAnsi" w:cstheme="minorHAnsi"/>
                <w:i/>
                <w:color w:val="000000"/>
                <w:lang w:val="en-US"/>
              </w:rPr>
              <w:t xml:space="preserve">2. </w:t>
            </w:r>
            <w:r w:rsidRPr="00866186">
              <w:rPr>
                <w:rFonts w:asciiTheme="minorHAnsi" w:hAnsiTheme="minorHAnsi" w:cstheme="minorHAnsi"/>
                <w:i/>
                <w:color w:val="19161A"/>
              </w:rPr>
              <w:t xml:space="preserve">En ce qui concerne la présence de résidus dans les denrées alimentaires consécutive à la préparation des arômes, la directive 2009/32/CE n'établit aucune teneur maximale pour le méthanol et le propanol-2 en son annexe I, partie III. </w:t>
            </w:r>
            <w:r w:rsidRPr="00866186">
              <w:rPr>
                <w:rFonts w:asciiTheme="minorHAnsi" w:hAnsiTheme="minorHAnsi" w:cstheme="minorHAnsi"/>
                <w:i/>
                <w:color w:val="19161A"/>
                <w:u w:val="single"/>
              </w:rPr>
              <w:t xml:space="preserve">Les États membres et la Commission ont fait valoir que la teneur maximale en résidus </w:t>
            </w:r>
            <w:r w:rsidRPr="00866186">
              <w:rPr>
                <w:rFonts w:asciiTheme="minorHAnsi" w:hAnsiTheme="minorHAnsi" w:cstheme="minorHAnsi"/>
                <w:i/>
                <w:color w:val="19161A"/>
              </w:rPr>
              <w:t>fixée de manière générale</w:t>
            </w:r>
            <w:r w:rsidRPr="00866186">
              <w:rPr>
                <w:rFonts w:asciiTheme="minorHAnsi" w:hAnsiTheme="minorHAnsi" w:cstheme="minorHAnsi"/>
                <w:i/>
                <w:color w:val="19161A"/>
                <w:u w:val="single"/>
              </w:rPr>
              <w:t xml:space="preserve"> pour le méthanol et le propanol-2 </w:t>
            </w:r>
            <w:r w:rsidRPr="00866186">
              <w:rPr>
                <w:rFonts w:asciiTheme="minorHAnsi" w:hAnsiTheme="minorHAnsi" w:cstheme="minorHAnsi"/>
                <w:i/>
                <w:color w:val="19161A"/>
              </w:rPr>
              <w:t xml:space="preserve">à l'annexe I, partie II, de la même directive, à savoir </w:t>
            </w:r>
            <w:r w:rsidRPr="00866186">
              <w:rPr>
                <w:rFonts w:asciiTheme="minorHAnsi" w:hAnsiTheme="minorHAnsi" w:cstheme="minorHAnsi"/>
                <w:i/>
                <w:color w:val="19161A"/>
                <w:u w:val="single"/>
              </w:rPr>
              <w:t>10 mg/kg, était trop stricte pour être appliquée directement aux arômes.</w:t>
            </w:r>
          </w:p>
          <w:p w:rsidR="00156EAC" w:rsidRPr="00866186" w:rsidRDefault="00156EAC" w:rsidP="00C27B67">
            <w:pPr>
              <w:contextualSpacing/>
              <w:jc w:val="both"/>
              <w:rPr>
                <w:rFonts w:asciiTheme="minorHAnsi" w:hAnsiTheme="minorHAnsi" w:cstheme="minorHAnsi"/>
                <w:b/>
                <w:u w:val="single"/>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i/>
                <w:u w:val="single"/>
              </w:rPr>
              <w:t>« Les </w:t>
            </w:r>
            <w:r w:rsidR="00866186">
              <w:rPr>
                <w:rFonts w:asciiTheme="minorHAnsi" w:hAnsiTheme="minorHAnsi" w:cstheme="minorHAnsi"/>
                <w:i/>
                <w:u w:val="single"/>
              </w:rPr>
              <w:t xml:space="preserve">États </w:t>
            </w:r>
            <w:proofErr w:type="gramStart"/>
            <w:r w:rsidRPr="00866186">
              <w:rPr>
                <w:rFonts w:asciiTheme="minorHAnsi" w:hAnsiTheme="minorHAnsi" w:cstheme="minorHAnsi"/>
                <w:i/>
                <w:u w:val="single"/>
              </w:rPr>
              <w:t>membres..</w:t>
            </w:r>
            <w:proofErr w:type="gramEnd"/>
            <w:r w:rsidRPr="00866186">
              <w:rPr>
                <w:rFonts w:asciiTheme="minorHAnsi" w:hAnsiTheme="minorHAnsi" w:cstheme="minorHAnsi"/>
                <w:i/>
                <w:u w:val="single"/>
              </w:rPr>
              <w:t> </w:t>
            </w:r>
            <w:r w:rsidRPr="00866186">
              <w:rPr>
                <w:rFonts w:asciiTheme="minorHAnsi" w:hAnsiTheme="minorHAnsi" w:cstheme="minorHAnsi"/>
              </w:rPr>
              <w:t xml:space="preserve">». Rien que </w:t>
            </w:r>
            <w:proofErr w:type="spellStart"/>
            <w:r w:rsidRPr="00866186">
              <w:rPr>
                <w:rFonts w:asciiTheme="minorHAnsi" w:hAnsiTheme="minorHAnsi" w:cstheme="minorHAnsi"/>
              </w:rPr>
              <w:t>çà</w:t>
            </w:r>
            <w:proofErr w:type="spellEnd"/>
            <w:r w:rsidRPr="00866186">
              <w:rPr>
                <w:rFonts w:asciiTheme="minorHAnsi" w:hAnsiTheme="minorHAnsi" w:cstheme="minorHAnsi"/>
              </w:rPr>
              <w:t> ! On pourrait presque croire que les gouvernements se sont mobilisés suite à une forte demande des populations manifestant en masse dans toutes les capitales, scandant « </w:t>
            </w:r>
            <w:r w:rsidRPr="00866186">
              <w:rPr>
                <w:rFonts w:asciiTheme="minorHAnsi" w:hAnsiTheme="minorHAnsi" w:cstheme="minorHAnsi"/>
                <w:i/>
              </w:rPr>
              <w:t xml:space="preserve">on veut </w:t>
            </w:r>
            <w:r w:rsidR="00866186">
              <w:rPr>
                <w:rFonts w:asciiTheme="minorHAnsi" w:hAnsiTheme="minorHAnsi" w:cstheme="minorHAnsi"/>
                <w:i/>
              </w:rPr>
              <w:t xml:space="preserve">davantage </w:t>
            </w:r>
            <w:r w:rsidRPr="00866186">
              <w:rPr>
                <w:rFonts w:asciiTheme="minorHAnsi" w:hAnsiTheme="minorHAnsi" w:cstheme="minorHAnsi"/>
                <w:i/>
              </w:rPr>
              <w:t>de méthanol et de propanol-2 dans nos assiettes !</w:t>
            </w:r>
            <w:r w:rsidR="00866186">
              <w:rPr>
                <w:rFonts w:asciiTheme="minorHAnsi" w:hAnsiTheme="minorHAnsi" w:cstheme="minorHAnsi"/>
                <w:i/>
              </w:rPr>
              <w:t xml:space="preserve"> </w:t>
            </w:r>
            <w:r w:rsidRPr="00866186">
              <w:rPr>
                <w:rFonts w:asciiTheme="minorHAnsi" w:hAnsiTheme="minorHAnsi" w:cstheme="minorHAnsi"/>
              </w:rPr>
              <w:t xml:space="preserve">». </w:t>
            </w:r>
            <w:r w:rsidR="00866186">
              <w:rPr>
                <w:rFonts w:asciiTheme="minorHAnsi" w:hAnsiTheme="minorHAnsi" w:cstheme="minorHAnsi"/>
              </w:rPr>
              <w:t xml:space="preserve">À </w:t>
            </w:r>
            <w:r w:rsidRPr="00866186">
              <w:rPr>
                <w:rFonts w:asciiTheme="minorHAnsi" w:hAnsiTheme="minorHAnsi" w:cstheme="minorHAnsi"/>
              </w:rPr>
              <w:t xml:space="preserve">moins que ce ne soit plutôt </w:t>
            </w:r>
            <w:r w:rsidR="00866186">
              <w:rPr>
                <w:rFonts w:asciiTheme="minorHAnsi" w:hAnsiTheme="minorHAnsi" w:cstheme="minorHAnsi"/>
              </w:rPr>
              <w:t xml:space="preserve">quelques industriels qui </w:t>
            </w:r>
            <w:r w:rsidRPr="00866186">
              <w:rPr>
                <w:rFonts w:asciiTheme="minorHAnsi" w:hAnsiTheme="minorHAnsi" w:cstheme="minorHAnsi"/>
              </w:rPr>
              <w:t>aient soufflé l’idée à certains de ces gouvernements</w:t>
            </w:r>
            <w:proofErr w:type="gramStart"/>
            <w:r w:rsidRPr="00866186">
              <w:rPr>
                <w:rFonts w:asciiTheme="minorHAnsi" w:hAnsiTheme="minorHAnsi" w:cstheme="minorHAnsi"/>
              </w:rPr>
              <w:t> ?…</w:t>
            </w:r>
            <w:proofErr w:type="gramEnd"/>
            <w:r w:rsidRPr="00866186">
              <w:rPr>
                <w:rFonts w:asciiTheme="minorHAnsi" w:hAnsiTheme="minorHAnsi" w:cstheme="minorHAnsi"/>
              </w:rPr>
              <w:t xml:space="preserve"> </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color w:val="000000"/>
                <w:lang w:val="en-US"/>
              </w:rPr>
              <w:t>3.</w:t>
            </w:r>
            <w:r w:rsidRPr="00866186">
              <w:rPr>
                <w:rFonts w:asciiTheme="minorHAnsi" w:hAnsiTheme="minorHAnsi" w:cstheme="minorHAnsi"/>
                <w:i/>
              </w:rPr>
              <w:t xml:space="preserve"> </w:t>
            </w:r>
            <w:r w:rsidRPr="00866186">
              <w:rPr>
                <w:rFonts w:asciiTheme="minorHAnsi" w:hAnsiTheme="minorHAnsi" w:cstheme="minorHAnsi"/>
                <w:i/>
                <w:color w:val="19161A"/>
              </w:rPr>
              <w:t xml:space="preserve">Par conséquent, il y </w:t>
            </w:r>
            <w:proofErr w:type="gramStart"/>
            <w:r w:rsidRPr="00866186">
              <w:rPr>
                <w:rFonts w:asciiTheme="minorHAnsi" w:hAnsiTheme="minorHAnsi" w:cstheme="minorHAnsi"/>
                <w:i/>
                <w:color w:val="19161A"/>
              </w:rPr>
              <w:t>a lieu</w:t>
            </w:r>
            <w:proofErr w:type="gramEnd"/>
            <w:r w:rsidRPr="00866186">
              <w:rPr>
                <w:rFonts w:asciiTheme="minorHAnsi" w:hAnsiTheme="minorHAnsi" w:cstheme="minorHAnsi"/>
                <w:i/>
                <w:color w:val="19161A"/>
              </w:rPr>
              <w:t xml:space="preserve"> de fixer des teneurs spécifiques relatives à la présence, dans les denrées alimentaires, de résidus de méthanol et de propanol-2, due à leur utilisation dans la préparation des arômes à partir d'aromates naturels. Pour pouvoir être considérées comme sûres, il convient que ces teneurs soient inférieures à la limite de 10 mg/kg </w:t>
            </w:r>
            <w:r w:rsidRPr="00866186">
              <w:rPr>
                <w:rFonts w:asciiTheme="minorHAnsi" w:hAnsiTheme="minorHAnsi" w:cstheme="minorHAnsi"/>
                <w:i/>
                <w:color w:val="19161A"/>
                <w:u w:val="single"/>
              </w:rPr>
              <w:t>reconnue comme sans danger par le comité scientifique de l'alimentation humaine</w:t>
            </w:r>
            <w:r w:rsidRPr="00866186">
              <w:rPr>
                <w:rFonts w:asciiTheme="minorHAnsi" w:hAnsiTheme="minorHAnsi" w:cstheme="minorHAnsi"/>
                <w:i/>
                <w:color w:val="19161A"/>
              </w:rPr>
              <w:t>.</w:t>
            </w:r>
          </w:p>
          <w:p w:rsidR="00156EAC" w:rsidRPr="00866186" w:rsidRDefault="00156EAC" w:rsidP="00C27B67">
            <w:pPr>
              <w:contextualSpacing/>
              <w:jc w:val="both"/>
              <w:rPr>
                <w:rFonts w:asciiTheme="minorHAnsi" w:hAnsiTheme="minorHAnsi" w:cstheme="minorHAnsi"/>
                <w:b/>
                <w:i/>
                <w:u w:val="single"/>
              </w:rPr>
            </w:pP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Le « </w:t>
            </w:r>
            <w:r w:rsidRPr="00866186">
              <w:rPr>
                <w:rFonts w:asciiTheme="minorHAnsi" w:hAnsiTheme="minorHAnsi" w:cstheme="minorHAnsi"/>
                <w:i/>
              </w:rPr>
              <w:t>comité scientifique de l’alimentation humaine </w:t>
            </w:r>
            <w:r w:rsidRPr="00866186">
              <w:rPr>
                <w:rFonts w:asciiTheme="minorHAnsi" w:hAnsiTheme="minorHAnsi" w:cstheme="minorHAnsi"/>
              </w:rPr>
              <w:t>» (</w:t>
            </w:r>
            <w:hyperlink r:id="rId31" w:history="1">
              <w:r w:rsidRPr="00866186">
                <w:rPr>
                  <w:rStyle w:val="Lienhypertexte"/>
                  <w:rFonts w:asciiTheme="minorHAnsi" w:hAnsiTheme="minorHAnsi" w:cstheme="minorHAnsi"/>
                </w:rPr>
                <w:t>CSF</w:t>
              </w:r>
            </w:hyperlink>
            <w:r w:rsidRPr="00866186">
              <w:rPr>
                <w:rFonts w:asciiTheme="minorHAnsi" w:hAnsiTheme="minorHAnsi" w:cstheme="minorHAnsi"/>
              </w:rPr>
              <w:t xml:space="preserve"> en Anglais), dont les responsabilités ont été transférées à l’</w:t>
            </w:r>
            <w:hyperlink r:id="rId32" w:anchor="Critiques" w:history="1">
              <w:r w:rsidRPr="00866186">
                <w:rPr>
                  <w:rStyle w:val="Lienhypertexte"/>
                  <w:rFonts w:asciiTheme="minorHAnsi" w:hAnsiTheme="minorHAnsi" w:cstheme="minorHAnsi"/>
                </w:rPr>
                <w:t>EFSA</w:t>
              </w:r>
            </w:hyperlink>
            <w:r w:rsidRPr="00866186">
              <w:rPr>
                <w:rFonts w:asciiTheme="minorHAnsi" w:hAnsiTheme="minorHAnsi" w:cstheme="minorHAnsi"/>
              </w:rPr>
              <w:t xml:space="preserve">, qui n’a pas vraiment la réputation d’être </w:t>
            </w:r>
            <w:hyperlink r:id="rId33" w:history="1">
              <w:r w:rsidRPr="00866186">
                <w:rPr>
                  <w:rStyle w:val="Lienhypertexte"/>
                  <w:rFonts w:asciiTheme="minorHAnsi" w:hAnsiTheme="minorHAnsi" w:cstheme="minorHAnsi"/>
                </w:rPr>
                <w:t>indépendante</w:t>
              </w:r>
            </w:hyperlink>
            <w:r w:rsidRPr="00866186">
              <w:rPr>
                <w:rFonts w:asciiTheme="minorHAnsi" w:hAnsiTheme="minorHAnsi" w:cstheme="minorHAnsi"/>
              </w:rPr>
              <w:t xml:space="preserve"> (3)…</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19161A"/>
              </w:rPr>
            </w:pPr>
            <w:r w:rsidRPr="00866186">
              <w:rPr>
                <w:rFonts w:asciiTheme="minorHAnsi" w:hAnsiTheme="minorHAnsi" w:cstheme="minorHAnsi"/>
                <w:i/>
                <w:color w:val="000000"/>
                <w:lang w:val="en-US"/>
              </w:rPr>
              <w:t>4.</w:t>
            </w:r>
            <w:r w:rsidRPr="00866186">
              <w:rPr>
                <w:rFonts w:asciiTheme="minorHAnsi" w:hAnsiTheme="minorHAnsi" w:cstheme="minorHAnsi"/>
                <w:i/>
              </w:rPr>
              <w:t xml:space="preserve"> </w:t>
            </w:r>
            <w:r w:rsidRPr="00866186">
              <w:rPr>
                <w:rFonts w:asciiTheme="minorHAnsi" w:hAnsiTheme="minorHAnsi" w:cstheme="minorHAnsi"/>
                <w:i/>
                <w:color w:val="19161A"/>
              </w:rPr>
              <w:t xml:space="preserve">Les mesures prévues par la présente directive sont </w:t>
            </w:r>
            <w:r w:rsidRPr="00866186">
              <w:rPr>
                <w:rFonts w:asciiTheme="minorHAnsi" w:hAnsiTheme="minorHAnsi" w:cstheme="minorHAnsi"/>
                <w:i/>
                <w:color w:val="19161A"/>
                <w:u w:val="single"/>
              </w:rPr>
              <w:t>conformes à l’avis du comité permanent de la chaîne alimentaire et de la santé animale et n’ont soulevé l’opposition ni du Parlement européen ni du Conseil</w:t>
            </w:r>
            <w:r w:rsidRPr="00866186">
              <w:rPr>
                <w:rFonts w:asciiTheme="minorHAnsi" w:hAnsiTheme="minorHAnsi" w:cstheme="minorHAnsi"/>
                <w:i/>
                <w:color w:val="19161A"/>
              </w:rPr>
              <w:t>,</w:t>
            </w:r>
          </w:p>
          <w:p w:rsidR="00156EAC" w:rsidRPr="00866186" w:rsidRDefault="00156EAC" w:rsidP="00C27B67">
            <w:pPr>
              <w:contextualSpacing/>
              <w:jc w:val="both"/>
              <w:rPr>
                <w:rFonts w:asciiTheme="minorHAnsi" w:hAnsiTheme="minorHAnsi" w:cstheme="minorHAnsi"/>
                <w:b/>
                <w:i/>
                <w:u w:val="single"/>
              </w:rPr>
            </w:pPr>
            <w:r w:rsidRPr="00866186">
              <w:rPr>
                <w:rFonts w:asciiTheme="minorHAnsi" w:hAnsiTheme="minorHAnsi" w:cstheme="minorHAnsi"/>
                <w:i/>
                <w:color w:val="19161A"/>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 xml:space="preserve">On voit mal </w:t>
            </w:r>
            <w:r w:rsidR="00052316">
              <w:rPr>
                <w:rFonts w:asciiTheme="minorHAnsi" w:hAnsiTheme="minorHAnsi" w:cstheme="minorHAnsi"/>
              </w:rPr>
              <w:t>le P</w:t>
            </w:r>
            <w:r w:rsidRPr="00866186">
              <w:rPr>
                <w:rFonts w:asciiTheme="minorHAnsi" w:hAnsiTheme="minorHAnsi" w:cstheme="minorHAnsi"/>
              </w:rPr>
              <w:t xml:space="preserve">arlement ou le </w:t>
            </w:r>
            <w:r w:rsidR="00052316">
              <w:rPr>
                <w:rFonts w:asciiTheme="minorHAnsi" w:hAnsiTheme="minorHAnsi" w:cstheme="minorHAnsi"/>
              </w:rPr>
              <w:t>C</w:t>
            </w:r>
            <w:r w:rsidRPr="00866186">
              <w:rPr>
                <w:rFonts w:asciiTheme="minorHAnsi" w:hAnsiTheme="minorHAnsi" w:cstheme="minorHAnsi"/>
              </w:rPr>
              <w:t>onseil s’opposer à des « experts » qui savent convaincre les plus s</w:t>
            </w:r>
            <w:r w:rsidR="00052316">
              <w:rPr>
                <w:rFonts w:asciiTheme="minorHAnsi" w:hAnsiTheme="minorHAnsi" w:cstheme="minorHAnsi"/>
              </w:rPr>
              <w:t>c</w:t>
            </w:r>
            <w:r w:rsidRPr="00866186">
              <w:rPr>
                <w:rFonts w:asciiTheme="minorHAnsi" w:hAnsiTheme="minorHAnsi" w:cstheme="minorHAnsi"/>
              </w:rPr>
              <w:t>eptiques à coups de publications « scientifiques » (7).</w:t>
            </w:r>
          </w:p>
        </w:tc>
      </w:tr>
      <w:tr w:rsidR="00866186" w:rsidRPr="00866186" w:rsidTr="00866186">
        <w:tc>
          <w:tcPr>
            <w:tcW w:w="2481" w:type="pct"/>
            <w:shd w:val="clear" w:color="auto" w:fill="auto"/>
          </w:tcPr>
          <w:p w:rsidR="00156EAC" w:rsidRPr="00866186" w:rsidRDefault="00654988" w:rsidP="00C27B67">
            <w:pPr>
              <w:contextualSpacing/>
              <w:jc w:val="both"/>
              <w:rPr>
                <w:rFonts w:asciiTheme="minorHAnsi" w:hAnsiTheme="minorHAnsi" w:cstheme="minorHAnsi"/>
                <w:u w:val="single"/>
              </w:rPr>
            </w:pPr>
            <w:hyperlink r:id="rId34" w:history="1">
              <w:r w:rsidR="00156EAC" w:rsidRPr="00866186">
                <w:rPr>
                  <w:rStyle w:val="Lienhypertexte"/>
                  <w:rFonts w:asciiTheme="minorHAnsi" w:hAnsiTheme="minorHAnsi" w:cstheme="minorHAnsi"/>
                  <w:b/>
                </w:rPr>
                <w:t>Directive (UE) 2016/1855 </w:t>
              </w:r>
            </w:hyperlink>
            <w:r w:rsidR="00156EAC" w:rsidRPr="00866186">
              <w:rPr>
                <w:rFonts w:asciiTheme="minorHAnsi" w:hAnsiTheme="minorHAnsi" w:cstheme="minorHAnsi"/>
              </w:rPr>
              <w:t>(2 pages) :</w:t>
            </w:r>
          </w:p>
        </w:tc>
        <w:tc>
          <w:tcPr>
            <w:tcW w:w="2519" w:type="pct"/>
            <w:shd w:val="clear" w:color="auto" w:fill="auto"/>
          </w:tcPr>
          <w:p w:rsidR="00156EAC" w:rsidRPr="00866186" w:rsidRDefault="00654988" w:rsidP="00C27B67">
            <w:pPr>
              <w:contextualSpacing/>
              <w:jc w:val="both"/>
              <w:rPr>
                <w:rFonts w:asciiTheme="minorHAnsi" w:hAnsiTheme="minorHAnsi" w:cstheme="minorHAnsi"/>
              </w:rPr>
            </w:pPr>
            <w:r>
              <w:rPr>
                <w:rFonts w:asciiTheme="minorHAnsi" w:hAnsiTheme="minorHAnsi" w:cstheme="minorHAnsi"/>
              </w:rPr>
              <w:t xml:space="preserve">Modifie la Directive </w:t>
            </w:r>
            <w:bookmarkStart w:id="0" w:name="_GoBack"/>
            <w:bookmarkEnd w:id="0"/>
            <w:r w:rsidRPr="00654988">
              <w:rPr>
                <w:rFonts w:asciiTheme="minorHAnsi" w:hAnsiTheme="minorHAnsi" w:cstheme="minorHAnsi"/>
              </w:rPr>
              <w:t>2010/59/UE</w:t>
            </w:r>
          </w:p>
        </w:tc>
      </w:tr>
      <w:tr w:rsidR="00866186" w:rsidRPr="00866186" w:rsidTr="00866186">
        <w:tc>
          <w:tcPr>
            <w:tcW w:w="2481" w:type="pct"/>
            <w:shd w:val="clear" w:color="auto" w:fill="auto"/>
          </w:tcPr>
          <w:p w:rsidR="00156EAC" w:rsidRPr="00866186" w:rsidRDefault="00156EAC" w:rsidP="00C27B67">
            <w:pPr>
              <w:contextualSpacing/>
              <w:jc w:val="both"/>
              <w:rPr>
                <w:rFonts w:asciiTheme="minorHAnsi" w:hAnsiTheme="minorHAnsi" w:cstheme="minorHAnsi"/>
                <w:i/>
                <w:color w:val="000000"/>
                <w:lang w:val="en-US"/>
              </w:rPr>
            </w:pPr>
            <w:r w:rsidRPr="00866186">
              <w:rPr>
                <w:rFonts w:asciiTheme="minorHAnsi" w:hAnsiTheme="minorHAnsi" w:cstheme="minorHAnsi"/>
                <w:i/>
                <w:color w:val="000000"/>
                <w:lang w:val="en-US"/>
              </w:rPr>
              <w:t>(…)</w:t>
            </w:r>
          </w:p>
          <w:p w:rsidR="00156EAC" w:rsidRPr="00866186" w:rsidRDefault="00156EAC" w:rsidP="00C27B67">
            <w:pPr>
              <w:contextualSpacing/>
              <w:jc w:val="both"/>
              <w:rPr>
                <w:rFonts w:asciiTheme="minorHAnsi" w:hAnsiTheme="minorHAnsi" w:cstheme="minorHAnsi"/>
                <w:i/>
              </w:rPr>
            </w:pPr>
            <w:r w:rsidRPr="00866186">
              <w:rPr>
                <w:rFonts w:asciiTheme="minorHAnsi" w:hAnsiTheme="minorHAnsi" w:cstheme="minorHAnsi"/>
                <w:i/>
                <w:color w:val="000000"/>
                <w:lang w:val="en-US"/>
              </w:rPr>
              <w:t>2.</w:t>
            </w:r>
            <w:r w:rsidRPr="00866186">
              <w:rPr>
                <w:rFonts w:asciiTheme="minorHAnsi" w:hAnsiTheme="minorHAnsi" w:cstheme="minorHAnsi"/>
                <w:i/>
              </w:rPr>
              <w:t xml:space="preserve"> Le 19 août 2014, </w:t>
            </w:r>
            <w:r w:rsidRPr="00866186">
              <w:rPr>
                <w:rFonts w:asciiTheme="minorHAnsi" w:hAnsiTheme="minorHAnsi" w:cstheme="minorHAnsi"/>
                <w:i/>
                <w:u w:val="single"/>
              </w:rPr>
              <w:t xml:space="preserve">une demande a été déposée par </w:t>
            </w:r>
            <w:proofErr w:type="spellStart"/>
            <w:r w:rsidRPr="00866186">
              <w:rPr>
                <w:rFonts w:asciiTheme="minorHAnsi" w:hAnsiTheme="minorHAnsi" w:cstheme="minorHAnsi"/>
                <w:i/>
                <w:u w:val="single"/>
              </w:rPr>
              <w:t>Akzo</w:t>
            </w:r>
            <w:proofErr w:type="spellEnd"/>
            <w:r w:rsidRPr="00866186">
              <w:rPr>
                <w:rFonts w:asciiTheme="minorHAnsi" w:hAnsiTheme="minorHAnsi" w:cstheme="minorHAnsi"/>
                <w:i/>
                <w:u w:val="single"/>
              </w:rPr>
              <w:t xml:space="preserve"> Nobel </w:t>
            </w:r>
            <w:proofErr w:type="spellStart"/>
            <w:r w:rsidRPr="00866186">
              <w:rPr>
                <w:rFonts w:asciiTheme="minorHAnsi" w:hAnsiTheme="minorHAnsi" w:cstheme="minorHAnsi"/>
                <w:i/>
                <w:u w:val="single"/>
              </w:rPr>
              <w:t>Industrial</w:t>
            </w:r>
            <w:proofErr w:type="spellEnd"/>
            <w:r w:rsidRPr="00866186">
              <w:rPr>
                <w:rFonts w:asciiTheme="minorHAnsi" w:hAnsiTheme="minorHAnsi" w:cstheme="minorHAnsi"/>
                <w:i/>
                <w:u w:val="single"/>
              </w:rPr>
              <w:t xml:space="preserve"> Chemicals BV visant à faire modifier la teneur maximale en résidus pour l'éther </w:t>
            </w:r>
            <w:proofErr w:type="spellStart"/>
            <w:r w:rsidRPr="00866186">
              <w:rPr>
                <w:rFonts w:asciiTheme="minorHAnsi" w:hAnsiTheme="minorHAnsi" w:cstheme="minorHAnsi"/>
                <w:i/>
                <w:u w:val="single"/>
              </w:rPr>
              <w:t>diméthylique</w:t>
            </w:r>
            <w:proofErr w:type="spellEnd"/>
            <w:r w:rsidRPr="00866186">
              <w:rPr>
                <w:rFonts w:asciiTheme="minorHAnsi" w:hAnsiTheme="minorHAnsi" w:cstheme="minorHAnsi"/>
                <w:i/>
              </w:rPr>
              <w:t xml:space="preserve"> en tant que solvant d'extraction dans les produits à base de protéines animales dégraissées, notamment le collagène et les dérivés du collagène, </w:t>
            </w:r>
            <w:r w:rsidRPr="00866186">
              <w:rPr>
                <w:rFonts w:asciiTheme="minorHAnsi" w:hAnsiTheme="minorHAnsi" w:cstheme="minorHAnsi"/>
                <w:i/>
                <w:u w:val="single"/>
              </w:rPr>
              <w:t>de 0,009 mg/kg à 3 mg/kg</w:t>
            </w:r>
            <w:r w:rsidRPr="00866186">
              <w:rPr>
                <w:rFonts w:asciiTheme="minorHAnsi" w:hAnsiTheme="minorHAnsi" w:cstheme="minorHAnsi"/>
                <w:i/>
              </w:rPr>
              <w:t xml:space="preserve">, et à </w:t>
            </w:r>
            <w:r w:rsidRPr="00866186">
              <w:rPr>
                <w:rFonts w:asciiTheme="minorHAnsi" w:hAnsiTheme="minorHAnsi" w:cstheme="minorHAnsi"/>
                <w:i/>
                <w:u w:val="single"/>
              </w:rPr>
              <w:t>ajouter une nouvelle utilisation</w:t>
            </w:r>
            <w:r w:rsidRPr="00866186">
              <w:rPr>
                <w:rFonts w:asciiTheme="minorHAnsi" w:hAnsiTheme="minorHAnsi" w:cstheme="minorHAnsi"/>
                <w:i/>
              </w:rPr>
              <w:t xml:space="preserve"> pour l'extraction de produits protéiques aux fins de l'obtention de gélatine avec une teneur maximale en résidus de 0,009 mg/kg. Cette demande a ensuite été mise à la disposition des États membres.</w:t>
            </w:r>
          </w:p>
          <w:p w:rsidR="00156EAC" w:rsidRPr="00866186" w:rsidRDefault="00156EAC" w:rsidP="00C27B67">
            <w:pPr>
              <w:contextualSpacing/>
              <w:jc w:val="both"/>
              <w:rPr>
                <w:rFonts w:asciiTheme="minorHAnsi" w:hAnsiTheme="minorHAnsi" w:cstheme="minorHAnsi"/>
                <w:u w:val="single"/>
              </w:rPr>
            </w:pPr>
            <w:r w:rsidRPr="00866186">
              <w:rPr>
                <w:rFonts w:asciiTheme="minorHAnsi" w:hAnsiTheme="minorHAnsi" w:cstheme="minorHAnsi"/>
                <w:i/>
              </w:rPr>
              <w:t>(…)</w:t>
            </w:r>
          </w:p>
        </w:tc>
        <w:tc>
          <w:tcPr>
            <w:tcW w:w="2519" w:type="pct"/>
            <w:shd w:val="clear" w:color="auto" w:fill="auto"/>
          </w:tcPr>
          <w:p w:rsidR="00156EAC" w:rsidRPr="00866186" w:rsidRDefault="00156EAC" w:rsidP="00C27B67">
            <w:pPr>
              <w:contextualSpacing/>
              <w:jc w:val="both"/>
              <w:rPr>
                <w:rFonts w:asciiTheme="minorHAnsi" w:hAnsiTheme="minorHAnsi" w:cstheme="minorHAnsi"/>
                <w:u w:val="single"/>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Au moins là</w:t>
            </w:r>
            <w:r w:rsidR="00052316">
              <w:rPr>
                <w:rFonts w:asciiTheme="minorHAnsi" w:hAnsiTheme="minorHAnsi" w:cstheme="minorHAnsi"/>
              </w:rPr>
              <w:t>,</w:t>
            </w:r>
            <w:r w:rsidRPr="00866186">
              <w:rPr>
                <w:rFonts w:asciiTheme="minorHAnsi" w:hAnsiTheme="minorHAnsi" w:cstheme="minorHAnsi"/>
              </w:rPr>
              <w:t xml:space="preserve"> les choses sont claires ! On a peut-être là l’explication de la directive précédente (2009/32/CE), qui avait permis dans un premier temps d’ajouter l'éther </w:t>
            </w:r>
            <w:proofErr w:type="spellStart"/>
            <w:r w:rsidRPr="00866186">
              <w:rPr>
                <w:rFonts w:asciiTheme="minorHAnsi" w:hAnsiTheme="minorHAnsi" w:cstheme="minorHAnsi"/>
              </w:rPr>
              <w:t>diméthylique</w:t>
            </w:r>
            <w:proofErr w:type="spellEnd"/>
            <w:r w:rsidRPr="00866186">
              <w:rPr>
                <w:rFonts w:asciiTheme="minorHAnsi" w:hAnsiTheme="minorHAnsi" w:cstheme="minorHAnsi"/>
              </w:rPr>
              <w:t xml:space="preserve"> à la liste des solvants autorisés…</w:t>
            </w: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p>
          <w:p w:rsidR="00156EAC" w:rsidRPr="00866186" w:rsidRDefault="00156EAC" w:rsidP="00C27B67">
            <w:pPr>
              <w:contextualSpacing/>
              <w:jc w:val="both"/>
              <w:rPr>
                <w:rFonts w:asciiTheme="minorHAnsi" w:hAnsiTheme="minorHAnsi" w:cstheme="minorHAnsi"/>
              </w:rPr>
            </w:pPr>
            <w:r w:rsidRPr="00866186">
              <w:rPr>
                <w:rFonts w:asciiTheme="minorHAnsi" w:hAnsiTheme="minorHAnsi" w:cstheme="minorHAnsi"/>
              </w:rPr>
              <w:t>Il s’agit là, après avoir d’abord obtenu l’accord pour le solvant, d’accorder une augmentation d’un facteur x333 de sa teneur maximale autorisée dans certains produits alimentaires. Chaque chose en son temps (</w:t>
            </w:r>
            <w:proofErr w:type="gramStart"/>
            <w:r w:rsidRPr="00866186">
              <w:rPr>
                <w:rFonts w:asciiTheme="minorHAnsi" w:hAnsiTheme="minorHAnsi" w:cstheme="minorHAnsi"/>
              </w:rPr>
              <w:t>6)…</w:t>
            </w:r>
            <w:proofErr w:type="gramEnd"/>
          </w:p>
        </w:tc>
      </w:tr>
    </w:tbl>
    <w:p w:rsidR="00C275D9" w:rsidRPr="00866186" w:rsidRDefault="00921676">
      <w:pPr>
        <w:rPr>
          <w:rFonts w:asciiTheme="minorHAnsi" w:hAnsiTheme="minorHAnsi" w:cstheme="minorHAnsi"/>
        </w:rPr>
      </w:pPr>
      <w:r w:rsidRPr="00866186">
        <w:rPr>
          <w:rFonts w:asciiTheme="minorHAnsi" w:hAnsiTheme="minorHAnsi" w:cstheme="minorHAnsi"/>
        </w:rPr>
        <w:t xml:space="preserve"> </w:t>
      </w:r>
    </w:p>
    <w:sectPr w:rsidR="00C275D9" w:rsidRPr="00866186" w:rsidSect="00052316">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474A7"/>
    <w:multiLevelType w:val="hybridMultilevel"/>
    <w:tmpl w:val="07B6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526BB"/>
    <w:multiLevelType w:val="hybridMultilevel"/>
    <w:tmpl w:val="03C4CB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0E57BC"/>
    <w:multiLevelType w:val="hybridMultilevel"/>
    <w:tmpl w:val="78560DDA"/>
    <w:lvl w:ilvl="0" w:tplc="71F40BA6">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76"/>
    <w:rsid w:val="00001045"/>
    <w:rsid w:val="000016A0"/>
    <w:rsid w:val="00002170"/>
    <w:rsid w:val="00002F9C"/>
    <w:rsid w:val="000045E4"/>
    <w:rsid w:val="00011CFF"/>
    <w:rsid w:val="00013250"/>
    <w:rsid w:val="000143FE"/>
    <w:rsid w:val="0002184A"/>
    <w:rsid w:val="000226A3"/>
    <w:rsid w:val="0002403A"/>
    <w:rsid w:val="00024205"/>
    <w:rsid w:val="0002448C"/>
    <w:rsid w:val="00024E98"/>
    <w:rsid w:val="00030779"/>
    <w:rsid w:val="0003577C"/>
    <w:rsid w:val="0003702E"/>
    <w:rsid w:val="00040B01"/>
    <w:rsid w:val="0004151D"/>
    <w:rsid w:val="00042138"/>
    <w:rsid w:val="000438CC"/>
    <w:rsid w:val="00043B7F"/>
    <w:rsid w:val="000459DE"/>
    <w:rsid w:val="000467F3"/>
    <w:rsid w:val="00052316"/>
    <w:rsid w:val="0005552F"/>
    <w:rsid w:val="0005681D"/>
    <w:rsid w:val="0005774E"/>
    <w:rsid w:val="000634CB"/>
    <w:rsid w:val="00070D28"/>
    <w:rsid w:val="00074BA4"/>
    <w:rsid w:val="00074C4B"/>
    <w:rsid w:val="00081ACF"/>
    <w:rsid w:val="00081E64"/>
    <w:rsid w:val="00082CEB"/>
    <w:rsid w:val="00082FF5"/>
    <w:rsid w:val="00083E0B"/>
    <w:rsid w:val="000842AF"/>
    <w:rsid w:val="00084FB4"/>
    <w:rsid w:val="00085942"/>
    <w:rsid w:val="00085991"/>
    <w:rsid w:val="00086B07"/>
    <w:rsid w:val="0009296D"/>
    <w:rsid w:val="00093897"/>
    <w:rsid w:val="00093F45"/>
    <w:rsid w:val="00094E95"/>
    <w:rsid w:val="000968FF"/>
    <w:rsid w:val="00096F2F"/>
    <w:rsid w:val="000A1926"/>
    <w:rsid w:val="000A3628"/>
    <w:rsid w:val="000A371A"/>
    <w:rsid w:val="000A3DF4"/>
    <w:rsid w:val="000A4BAE"/>
    <w:rsid w:val="000A5021"/>
    <w:rsid w:val="000A58DB"/>
    <w:rsid w:val="000A7AC6"/>
    <w:rsid w:val="000B1C21"/>
    <w:rsid w:val="000B210C"/>
    <w:rsid w:val="000B2C23"/>
    <w:rsid w:val="000B2E38"/>
    <w:rsid w:val="000B3BE5"/>
    <w:rsid w:val="000B3E47"/>
    <w:rsid w:val="000B5068"/>
    <w:rsid w:val="000B5CF6"/>
    <w:rsid w:val="000B7C6E"/>
    <w:rsid w:val="000C17F9"/>
    <w:rsid w:val="000C29CE"/>
    <w:rsid w:val="000C29E2"/>
    <w:rsid w:val="000C4160"/>
    <w:rsid w:val="000C421B"/>
    <w:rsid w:val="000C5404"/>
    <w:rsid w:val="000D0D35"/>
    <w:rsid w:val="000D2FA6"/>
    <w:rsid w:val="000D38ED"/>
    <w:rsid w:val="000D5855"/>
    <w:rsid w:val="000D58B3"/>
    <w:rsid w:val="000E0676"/>
    <w:rsid w:val="000E1B61"/>
    <w:rsid w:val="000E523F"/>
    <w:rsid w:val="000F5FAE"/>
    <w:rsid w:val="0010022D"/>
    <w:rsid w:val="00101226"/>
    <w:rsid w:val="00102FB5"/>
    <w:rsid w:val="00105363"/>
    <w:rsid w:val="001055E6"/>
    <w:rsid w:val="001066D1"/>
    <w:rsid w:val="00110891"/>
    <w:rsid w:val="0011251C"/>
    <w:rsid w:val="00112F93"/>
    <w:rsid w:val="00115335"/>
    <w:rsid w:val="001153A5"/>
    <w:rsid w:val="001160FA"/>
    <w:rsid w:val="00117FA9"/>
    <w:rsid w:val="00122957"/>
    <w:rsid w:val="00122BBE"/>
    <w:rsid w:val="00126973"/>
    <w:rsid w:val="0012738E"/>
    <w:rsid w:val="00130736"/>
    <w:rsid w:val="00131CFA"/>
    <w:rsid w:val="00133455"/>
    <w:rsid w:val="001337CD"/>
    <w:rsid w:val="00137EF5"/>
    <w:rsid w:val="00143054"/>
    <w:rsid w:val="001433D9"/>
    <w:rsid w:val="00144C94"/>
    <w:rsid w:val="001456FC"/>
    <w:rsid w:val="001460A8"/>
    <w:rsid w:val="001515A3"/>
    <w:rsid w:val="00151B0C"/>
    <w:rsid w:val="00151F61"/>
    <w:rsid w:val="001529AF"/>
    <w:rsid w:val="00153309"/>
    <w:rsid w:val="001536A6"/>
    <w:rsid w:val="00156EAC"/>
    <w:rsid w:val="001669F6"/>
    <w:rsid w:val="00166CA9"/>
    <w:rsid w:val="00167D8C"/>
    <w:rsid w:val="00172ADD"/>
    <w:rsid w:val="001730EB"/>
    <w:rsid w:val="001731FD"/>
    <w:rsid w:val="001741E0"/>
    <w:rsid w:val="001748FD"/>
    <w:rsid w:val="0017514C"/>
    <w:rsid w:val="00176D3E"/>
    <w:rsid w:val="001803A0"/>
    <w:rsid w:val="0018074E"/>
    <w:rsid w:val="00180973"/>
    <w:rsid w:val="00181706"/>
    <w:rsid w:val="00182182"/>
    <w:rsid w:val="0018263B"/>
    <w:rsid w:val="0018392E"/>
    <w:rsid w:val="00185CBE"/>
    <w:rsid w:val="001918E8"/>
    <w:rsid w:val="00192D0A"/>
    <w:rsid w:val="00193778"/>
    <w:rsid w:val="00193D11"/>
    <w:rsid w:val="0019464E"/>
    <w:rsid w:val="00195BA2"/>
    <w:rsid w:val="0019637D"/>
    <w:rsid w:val="00196ECC"/>
    <w:rsid w:val="001A5010"/>
    <w:rsid w:val="001B053C"/>
    <w:rsid w:val="001B2656"/>
    <w:rsid w:val="001B4434"/>
    <w:rsid w:val="001B4D8E"/>
    <w:rsid w:val="001B7107"/>
    <w:rsid w:val="001C095F"/>
    <w:rsid w:val="001C1543"/>
    <w:rsid w:val="001C41FA"/>
    <w:rsid w:val="001C5047"/>
    <w:rsid w:val="001C5DCE"/>
    <w:rsid w:val="001C7FC7"/>
    <w:rsid w:val="001D0AE5"/>
    <w:rsid w:val="001D3E05"/>
    <w:rsid w:val="001D4C12"/>
    <w:rsid w:val="001D6C8D"/>
    <w:rsid w:val="001D738A"/>
    <w:rsid w:val="001D74A3"/>
    <w:rsid w:val="001E447C"/>
    <w:rsid w:val="001E7371"/>
    <w:rsid w:val="001F1FD7"/>
    <w:rsid w:val="001F3E75"/>
    <w:rsid w:val="001F5B11"/>
    <w:rsid w:val="001F718F"/>
    <w:rsid w:val="002012D7"/>
    <w:rsid w:val="002032C9"/>
    <w:rsid w:val="0020410F"/>
    <w:rsid w:val="0020437D"/>
    <w:rsid w:val="0020489F"/>
    <w:rsid w:val="00204EEE"/>
    <w:rsid w:val="00204FEF"/>
    <w:rsid w:val="002066AF"/>
    <w:rsid w:val="002071B6"/>
    <w:rsid w:val="002077D6"/>
    <w:rsid w:val="00207E81"/>
    <w:rsid w:val="00211A7E"/>
    <w:rsid w:val="00213EAA"/>
    <w:rsid w:val="00214772"/>
    <w:rsid w:val="00214BF0"/>
    <w:rsid w:val="002156F1"/>
    <w:rsid w:val="0021730D"/>
    <w:rsid w:val="002251F3"/>
    <w:rsid w:val="00226790"/>
    <w:rsid w:val="002348BE"/>
    <w:rsid w:val="00235A4D"/>
    <w:rsid w:val="00236DC6"/>
    <w:rsid w:val="0024007C"/>
    <w:rsid w:val="00240FF3"/>
    <w:rsid w:val="0024265B"/>
    <w:rsid w:val="00242E65"/>
    <w:rsid w:val="00243C63"/>
    <w:rsid w:val="00244F07"/>
    <w:rsid w:val="00246C58"/>
    <w:rsid w:val="002472B1"/>
    <w:rsid w:val="00247705"/>
    <w:rsid w:val="002507E3"/>
    <w:rsid w:val="00250E7D"/>
    <w:rsid w:val="002526F6"/>
    <w:rsid w:val="00254964"/>
    <w:rsid w:val="00255F0A"/>
    <w:rsid w:val="002613F2"/>
    <w:rsid w:val="0026323B"/>
    <w:rsid w:val="00263DCA"/>
    <w:rsid w:val="0026603A"/>
    <w:rsid w:val="002712D7"/>
    <w:rsid w:val="00271D63"/>
    <w:rsid w:val="0027250B"/>
    <w:rsid w:val="00272CC4"/>
    <w:rsid w:val="00273B9E"/>
    <w:rsid w:val="00274DF8"/>
    <w:rsid w:val="00277DFF"/>
    <w:rsid w:val="0028065C"/>
    <w:rsid w:val="002818F2"/>
    <w:rsid w:val="00282B3B"/>
    <w:rsid w:val="0028301E"/>
    <w:rsid w:val="0028536D"/>
    <w:rsid w:val="002864A0"/>
    <w:rsid w:val="0029425F"/>
    <w:rsid w:val="00294ECF"/>
    <w:rsid w:val="00297883"/>
    <w:rsid w:val="002979EB"/>
    <w:rsid w:val="002A466E"/>
    <w:rsid w:val="002A56A4"/>
    <w:rsid w:val="002A5BB8"/>
    <w:rsid w:val="002A5FC6"/>
    <w:rsid w:val="002B1732"/>
    <w:rsid w:val="002B24A2"/>
    <w:rsid w:val="002B29B8"/>
    <w:rsid w:val="002B3724"/>
    <w:rsid w:val="002B4EE3"/>
    <w:rsid w:val="002B55E1"/>
    <w:rsid w:val="002C436E"/>
    <w:rsid w:val="002C70EB"/>
    <w:rsid w:val="002C7B74"/>
    <w:rsid w:val="002D24B9"/>
    <w:rsid w:val="002D3DCD"/>
    <w:rsid w:val="002D6BD0"/>
    <w:rsid w:val="002D6ECF"/>
    <w:rsid w:val="002E0D89"/>
    <w:rsid w:val="002E5364"/>
    <w:rsid w:val="002E539A"/>
    <w:rsid w:val="002E60A8"/>
    <w:rsid w:val="002E7DBB"/>
    <w:rsid w:val="002F3439"/>
    <w:rsid w:val="002F37D5"/>
    <w:rsid w:val="002F511F"/>
    <w:rsid w:val="002F5E5D"/>
    <w:rsid w:val="00301940"/>
    <w:rsid w:val="00303E0D"/>
    <w:rsid w:val="00305031"/>
    <w:rsid w:val="00305E17"/>
    <w:rsid w:val="003108EA"/>
    <w:rsid w:val="00310F7F"/>
    <w:rsid w:val="003126E4"/>
    <w:rsid w:val="0031396B"/>
    <w:rsid w:val="00314A66"/>
    <w:rsid w:val="003155EA"/>
    <w:rsid w:val="00315F30"/>
    <w:rsid w:val="00317A60"/>
    <w:rsid w:val="0032087B"/>
    <w:rsid w:val="00321BF1"/>
    <w:rsid w:val="00322117"/>
    <w:rsid w:val="00322BFB"/>
    <w:rsid w:val="003245BB"/>
    <w:rsid w:val="003268C5"/>
    <w:rsid w:val="00330CA3"/>
    <w:rsid w:val="00330D8F"/>
    <w:rsid w:val="0033182D"/>
    <w:rsid w:val="00332CED"/>
    <w:rsid w:val="00334C53"/>
    <w:rsid w:val="00335040"/>
    <w:rsid w:val="00335927"/>
    <w:rsid w:val="003378F8"/>
    <w:rsid w:val="00341369"/>
    <w:rsid w:val="003474CF"/>
    <w:rsid w:val="00347FDD"/>
    <w:rsid w:val="00350309"/>
    <w:rsid w:val="00357510"/>
    <w:rsid w:val="00357CF5"/>
    <w:rsid w:val="003617F2"/>
    <w:rsid w:val="00361CB7"/>
    <w:rsid w:val="00363889"/>
    <w:rsid w:val="00364E3D"/>
    <w:rsid w:val="00366D77"/>
    <w:rsid w:val="003733DA"/>
    <w:rsid w:val="00373EDF"/>
    <w:rsid w:val="00376F5D"/>
    <w:rsid w:val="0037752E"/>
    <w:rsid w:val="00377DEB"/>
    <w:rsid w:val="00380901"/>
    <w:rsid w:val="00380C35"/>
    <w:rsid w:val="003814AF"/>
    <w:rsid w:val="00381B46"/>
    <w:rsid w:val="00381DAE"/>
    <w:rsid w:val="00383EBA"/>
    <w:rsid w:val="00384F81"/>
    <w:rsid w:val="003850C6"/>
    <w:rsid w:val="00387516"/>
    <w:rsid w:val="00387F1C"/>
    <w:rsid w:val="0039138C"/>
    <w:rsid w:val="00393E22"/>
    <w:rsid w:val="00394C10"/>
    <w:rsid w:val="00395701"/>
    <w:rsid w:val="00396D15"/>
    <w:rsid w:val="00397749"/>
    <w:rsid w:val="003A0668"/>
    <w:rsid w:val="003A0D83"/>
    <w:rsid w:val="003A225D"/>
    <w:rsid w:val="003A23F6"/>
    <w:rsid w:val="003A2CF9"/>
    <w:rsid w:val="003B06A4"/>
    <w:rsid w:val="003B0BCD"/>
    <w:rsid w:val="003B0BEA"/>
    <w:rsid w:val="003B11B5"/>
    <w:rsid w:val="003B27A8"/>
    <w:rsid w:val="003B2840"/>
    <w:rsid w:val="003B32B3"/>
    <w:rsid w:val="003B5214"/>
    <w:rsid w:val="003B757E"/>
    <w:rsid w:val="003C4A5B"/>
    <w:rsid w:val="003C5E6E"/>
    <w:rsid w:val="003C74FA"/>
    <w:rsid w:val="003D0AB8"/>
    <w:rsid w:val="003D3B10"/>
    <w:rsid w:val="003D3EAB"/>
    <w:rsid w:val="003D77D6"/>
    <w:rsid w:val="003E16EF"/>
    <w:rsid w:val="003E3C25"/>
    <w:rsid w:val="003E6AFE"/>
    <w:rsid w:val="003E79C5"/>
    <w:rsid w:val="003E7A6F"/>
    <w:rsid w:val="003F257E"/>
    <w:rsid w:val="003F2DAF"/>
    <w:rsid w:val="003F4F1E"/>
    <w:rsid w:val="003F602A"/>
    <w:rsid w:val="003F6FCE"/>
    <w:rsid w:val="003F75F2"/>
    <w:rsid w:val="00407484"/>
    <w:rsid w:val="0040757A"/>
    <w:rsid w:val="00410B16"/>
    <w:rsid w:val="00414139"/>
    <w:rsid w:val="0041512E"/>
    <w:rsid w:val="00415464"/>
    <w:rsid w:val="0041763D"/>
    <w:rsid w:val="004309EB"/>
    <w:rsid w:val="00430C6C"/>
    <w:rsid w:val="00431A0C"/>
    <w:rsid w:val="004338DD"/>
    <w:rsid w:val="00435F0F"/>
    <w:rsid w:val="004430C1"/>
    <w:rsid w:val="00443630"/>
    <w:rsid w:val="0044500D"/>
    <w:rsid w:val="00447784"/>
    <w:rsid w:val="00451C29"/>
    <w:rsid w:val="0045378D"/>
    <w:rsid w:val="0045482D"/>
    <w:rsid w:val="00454AE6"/>
    <w:rsid w:val="00455408"/>
    <w:rsid w:val="004578EC"/>
    <w:rsid w:val="00460BEA"/>
    <w:rsid w:val="004633B4"/>
    <w:rsid w:val="00466122"/>
    <w:rsid w:val="00470B3D"/>
    <w:rsid w:val="00471451"/>
    <w:rsid w:val="00474698"/>
    <w:rsid w:val="00474B9C"/>
    <w:rsid w:val="00474C65"/>
    <w:rsid w:val="004755F1"/>
    <w:rsid w:val="00477715"/>
    <w:rsid w:val="004806DE"/>
    <w:rsid w:val="0048475B"/>
    <w:rsid w:val="00485064"/>
    <w:rsid w:val="004876E2"/>
    <w:rsid w:val="00491113"/>
    <w:rsid w:val="00491E6D"/>
    <w:rsid w:val="00494AEE"/>
    <w:rsid w:val="00496A83"/>
    <w:rsid w:val="00496E59"/>
    <w:rsid w:val="004A115C"/>
    <w:rsid w:val="004A494A"/>
    <w:rsid w:val="004B0350"/>
    <w:rsid w:val="004B102B"/>
    <w:rsid w:val="004B15A9"/>
    <w:rsid w:val="004B3681"/>
    <w:rsid w:val="004B40EA"/>
    <w:rsid w:val="004B4631"/>
    <w:rsid w:val="004B79E8"/>
    <w:rsid w:val="004B7EF2"/>
    <w:rsid w:val="004C6C7C"/>
    <w:rsid w:val="004D03ED"/>
    <w:rsid w:val="004D1780"/>
    <w:rsid w:val="004D398C"/>
    <w:rsid w:val="004D3E5C"/>
    <w:rsid w:val="004D6862"/>
    <w:rsid w:val="004D7DD9"/>
    <w:rsid w:val="004E1009"/>
    <w:rsid w:val="004E4950"/>
    <w:rsid w:val="004E62E9"/>
    <w:rsid w:val="004E67A4"/>
    <w:rsid w:val="004E7CED"/>
    <w:rsid w:val="004F355E"/>
    <w:rsid w:val="004F482B"/>
    <w:rsid w:val="004F525C"/>
    <w:rsid w:val="004F72F2"/>
    <w:rsid w:val="005000E1"/>
    <w:rsid w:val="00500964"/>
    <w:rsid w:val="00503027"/>
    <w:rsid w:val="00503C25"/>
    <w:rsid w:val="00504DA3"/>
    <w:rsid w:val="00506653"/>
    <w:rsid w:val="00506B4E"/>
    <w:rsid w:val="00507A2C"/>
    <w:rsid w:val="00510130"/>
    <w:rsid w:val="00510460"/>
    <w:rsid w:val="00510474"/>
    <w:rsid w:val="00512ACB"/>
    <w:rsid w:val="0051646E"/>
    <w:rsid w:val="005165F5"/>
    <w:rsid w:val="005172AE"/>
    <w:rsid w:val="00520136"/>
    <w:rsid w:val="005228C8"/>
    <w:rsid w:val="00525761"/>
    <w:rsid w:val="00525F71"/>
    <w:rsid w:val="00527128"/>
    <w:rsid w:val="00527AC3"/>
    <w:rsid w:val="005338AB"/>
    <w:rsid w:val="0053785D"/>
    <w:rsid w:val="00540559"/>
    <w:rsid w:val="00541681"/>
    <w:rsid w:val="00541CCD"/>
    <w:rsid w:val="00542A1E"/>
    <w:rsid w:val="00543090"/>
    <w:rsid w:val="00543E60"/>
    <w:rsid w:val="0055081F"/>
    <w:rsid w:val="00551435"/>
    <w:rsid w:val="00552F32"/>
    <w:rsid w:val="005530AD"/>
    <w:rsid w:val="00560979"/>
    <w:rsid w:val="005609A5"/>
    <w:rsid w:val="00561508"/>
    <w:rsid w:val="00563472"/>
    <w:rsid w:val="0056408A"/>
    <w:rsid w:val="0056656A"/>
    <w:rsid w:val="0056799D"/>
    <w:rsid w:val="00570452"/>
    <w:rsid w:val="005704C4"/>
    <w:rsid w:val="005726D7"/>
    <w:rsid w:val="0057315B"/>
    <w:rsid w:val="005740CF"/>
    <w:rsid w:val="005755DF"/>
    <w:rsid w:val="0057737C"/>
    <w:rsid w:val="00585AF7"/>
    <w:rsid w:val="00586321"/>
    <w:rsid w:val="00593577"/>
    <w:rsid w:val="0059379B"/>
    <w:rsid w:val="00596993"/>
    <w:rsid w:val="005A0374"/>
    <w:rsid w:val="005A178A"/>
    <w:rsid w:val="005A2733"/>
    <w:rsid w:val="005A44B8"/>
    <w:rsid w:val="005A462A"/>
    <w:rsid w:val="005A5DF2"/>
    <w:rsid w:val="005A6B61"/>
    <w:rsid w:val="005B13EF"/>
    <w:rsid w:val="005B29DE"/>
    <w:rsid w:val="005B4FFE"/>
    <w:rsid w:val="005B68AC"/>
    <w:rsid w:val="005B6E9F"/>
    <w:rsid w:val="005B7274"/>
    <w:rsid w:val="005C045E"/>
    <w:rsid w:val="005C0ED9"/>
    <w:rsid w:val="005C1665"/>
    <w:rsid w:val="005C663F"/>
    <w:rsid w:val="005D00C4"/>
    <w:rsid w:val="005D2AB6"/>
    <w:rsid w:val="005D31AF"/>
    <w:rsid w:val="005D3BDE"/>
    <w:rsid w:val="005D4D2E"/>
    <w:rsid w:val="005D6F14"/>
    <w:rsid w:val="005D7F4E"/>
    <w:rsid w:val="005E2547"/>
    <w:rsid w:val="005E3066"/>
    <w:rsid w:val="005E4E1B"/>
    <w:rsid w:val="005E5D3E"/>
    <w:rsid w:val="005F0048"/>
    <w:rsid w:val="005F04BE"/>
    <w:rsid w:val="005F0D9E"/>
    <w:rsid w:val="005F1E5D"/>
    <w:rsid w:val="005F2F03"/>
    <w:rsid w:val="005F4BD8"/>
    <w:rsid w:val="005F4F6E"/>
    <w:rsid w:val="005F50E1"/>
    <w:rsid w:val="005F5193"/>
    <w:rsid w:val="00603C10"/>
    <w:rsid w:val="00605874"/>
    <w:rsid w:val="00606522"/>
    <w:rsid w:val="00610E15"/>
    <w:rsid w:val="006115BE"/>
    <w:rsid w:val="006118C1"/>
    <w:rsid w:val="006126F0"/>
    <w:rsid w:val="006127C8"/>
    <w:rsid w:val="00614105"/>
    <w:rsid w:val="00620035"/>
    <w:rsid w:val="00621523"/>
    <w:rsid w:val="00632296"/>
    <w:rsid w:val="00633138"/>
    <w:rsid w:val="00633337"/>
    <w:rsid w:val="006334CD"/>
    <w:rsid w:val="00635232"/>
    <w:rsid w:val="00637331"/>
    <w:rsid w:val="0063783E"/>
    <w:rsid w:val="00640913"/>
    <w:rsid w:val="00641C1C"/>
    <w:rsid w:val="00644AC2"/>
    <w:rsid w:val="006469C6"/>
    <w:rsid w:val="00651066"/>
    <w:rsid w:val="00652465"/>
    <w:rsid w:val="006543A1"/>
    <w:rsid w:val="00654988"/>
    <w:rsid w:val="00655E4A"/>
    <w:rsid w:val="006564EE"/>
    <w:rsid w:val="006573C8"/>
    <w:rsid w:val="006575DE"/>
    <w:rsid w:val="00661D10"/>
    <w:rsid w:val="00662A84"/>
    <w:rsid w:val="00662C66"/>
    <w:rsid w:val="006640CA"/>
    <w:rsid w:val="006667CA"/>
    <w:rsid w:val="006678AF"/>
    <w:rsid w:val="00667BB1"/>
    <w:rsid w:val="00667D99"/>
    <w:rsid w:val="00667E8A"/>
    <w:rsid w:val="006700FF"/>
    <w:rsid w:val="00671858"/>
    <w:rsid w:val="00676E2A"/>
    <w:rsid w:val="00681868"/>
    <w:rsid w:val="00682506"/>
    <w:rsid w:val="00683D6D"/>
    <w:rsid w:val="006856F5"/>
    <w:rsid w:val="00687154"/>
    <w:rsid w:val="00687190"/>
    <w:rsid w:val="0069023F"/>
    <w:rsid w:val="00691876"/>
    <w:rsid w:val="00692D70"/>
    <w:rsid w:val="006930B1"/>
    <w:rsid w:val="006A1C39"/>
    <w:rsid w:val="006A43D9"/>
    <w:rsid w:val="006A4CF8"/>
    <w:rsid w:val="006A68FF"/>
    <w:rsid w:val="006A6C65"/>
    <w:rsid w:val="006A7010"/>
    <w:rsid w:val="006A7690"/>
    <w:rsid w:val="006B1867"/>
    <w:rsid w:val="006B3859"/>
    <w:rsid w:val="006B7787"/>
    <w:rsid w:val="006C2571"/>
    <w:rsid w:val="006C3557"/>
    <w:rsid w:val="006C43BA"/>
    <w:rsid w:val="006C6CDF"/>
    <w:rsid w:val="006C7278"/>
    <w:rsid w:val="006D56E1"/>
    <w:rsid w:val="006E0112"/>
    <w:rsid w:val="006E012B"/>
    <w:rsid w:val="006E229F"/>
    <w:rsid w:val="006E283D"/>
    <w:rsid w:val="006E563C"/>
    <w:rsid w:val="006F31A0"/>
    <w:rsid w:val="006F44A8"/>
    <w:rsid w:val="006F4807"/>
    <w:rsid w:val="006F515F"/>
    <w:rsid w:val="006F60B9"/>
    <w:rsid w:val="006F77D4"/>
    <w:rsid w:val="00703CE3"/>
    <w:rsid w:val="00711193"/>
    <w:rsid w:val="00711979"/>
    <w:rsid w:val="00712184"/>
    <w:rsid w:val="00716DC5"/>
    <w:rsid w:val="007170DB"/>
    <w:rsid w:val="00720E05"/>
    <w:rsid w:val="00724110"/>
    <w:rsid w:val="00726CA7"/>
    <w:rsid w:val="00730A62"/>
    <w:rsid w:val="00732D34"/>
    <w:rsid w:val="00733605"/>
    <w:rsid w:val="00734AEB"/>
    <w:rsid w:val="0073649E"/>
    <w:rsid w:val="00736F61"/>
    <w:rsid w:val="00742DBF"/>
    <w:rsid w:val="00743934"/>
    <w:rsid w:val="007507B1"/>
    <w:rsid w:val="0075093A"/>
    <w:rsid w:val="007524ED"/>
    <w:rsid w:val="00752837"/>
    <w:rsid w:val="00753B01"/>
    <w:rsid w:val="00757804"/>
    <w:rsid w:val="00761A05"/>
    <w:rsid w:val="00761D41"/>
    <w:rsid w:val="007637DD"/>
    <w:rsid w:val="007638D9"/>
    <w:rsid w:val="0076470E"/>
    <w:rsid w:val="007655A2"/>
    <w:rsid w:val="007676A5"/>
    <w:rsid w:val="00771486"/>
    <w:rsid w:val="00771D19"/>
    <w:rsid w:val="00772FB8"/>
    <w:rsid w:val="00773133"/>
    <w:rsid w:val="00777337"/>
    <w:rsid w:val="00783C56"/>
    <w:rsid w:val="00784287"/>
    <w:rsid w:val="0078670A"/>
    <w:rsid w:val="007868BE"/>
    <w:rsid w:val="00786AD8"/>
    <w:rsid w:val="00790490"/>
    <w:rsid w:val="007912AA"/>
    <w:rsid w:val="00793FFC"/>
    <w:rsid w:val="007959F5"/>
    <w:rsid w:val="007960C6"/>
    <w:rsid w:val="00796FCD"/>
    <w:rsid w:val="00797433"/>
    <w:rsid w:val="007974D3"/>
    <w:rsid w:val="007977D1"/>
    <w:rsid w:val="007A2FD1"/>
    <w:rsid w:val="007A5CCD"/>
    <w:rsid w:val="007A7F8B"/>
    <w:rsid w:val="007B2730"/>
    <w:rsid w:val="007B3BEC"/>
    <w:rsid w:val="007B5A62"/>
    <w:rsid w:val="007B5E5C"/>
    <w:rsid w:val="007C02AB"/>
    <w:rsid w:val="007C0464"/>
    <w:rsid w:val="007C28BB"/>
    <w:rsid w:val="007C4055"/>
    <w:rsid w:val="007C6899"/>
    <w:rsid w:val="007C7819"/>
    <w:rsid w:val="007D12D0"/>
    <w:rsid w:val="007D16A3"/>
    <w:rsid w:val="007D2A3D"/>
    <w:rsid w:val="007D4151"/>
    <w:rsid w:val="007D69C0"/>
    <w:rsid w:val="007E1379"/>
    <w:rsid w:val="007E1DBE"/>
    <w:rsid w:val="007E5E7A"/>
    <w:rsid w:val="007E6F48"/>
    <w:rsid w:val="007E7DDC"/>
    <w:rsid w:val="007F2535"/>
    <w:rsid w:val="007F2C48"/>
    <w:rsid w:val="007F4E7F"/>
    <w:rsid w:val="007F5A39"/>
    <w:rsid w:val="007F65DB"/>
    <w:rsid w:val="007F6917"/>
    <w:rsid w:val="00801C17"/>
    <w:rsid w:val="0080653E"/>
    <w:rsid w:val="00806D76"/>
    <w:rsid w:val="008121B2"/>
    <w:rsid w:val="00813C15"/>
    <w:rsid w:val="0081528A"/>
    <w:rsid w:val="0081551D"/>
    <w:rsid w:val="00816440"/>
    <w:rsid w:val="0082076E"/>
    <w:rsid w:val="00823092"/>
    <w:rsid w:val="008244F7"/>
    <w:rsid w:val="008250C1"/>
    <w:rsid w:val="0082567C"/>
    <w:rsid w:val="00827B00"/>
    <w:rsid w:val="00831D46"/>
    <w:rsid w:val="0083333F"/>
    <w:rsid w:val="00833BDF"/>
    <w:rsid w:val="00834409"/>
    <w:rsid w:val="00843B85"/>
    <w:rsid w:val="00843CD6"/>
    <w:rsid w:val="00844315"/>
    <w:rsid w:val="00845C4E"/>
    <w:rsid w:val="00846697"/>
    <w:rsid w:val="00847C6C"/>
    <w:rsid w:val="00850D16"/>
    <w:rsid w:val="00851838"/>
    <w:rsid w:val="00852C6B"/>
    <w:rsid w:val="00854AA7"/>
    <w:rsid w:val="00856801"/>
    <w:rsid w:val="00857458"/>
    <w:rsid w:val="008657BF"/>
    <w:rsid w:val="00866186"/>
    <w:rsid w:val="00870319"/>
    <w:rsid w:val="0087201D"/>
    <w:rsid w:val="008729B3"/>
    <w:rsid w:val="00873B84"/>
    <w:rsid w:val="00874C28"/>
    <w:rsid w:val="00877A11"/>
    <w:rsid w:val="00881F15"/>
    <w:rsid w:val="0088483D"/>
    <w:rsid w:val="00893012"/>
    <w:rsid w:val="008A3649"/>
    <w:rsid w:val="008A3680"/>
    <w:rsid w:val="008A54E5"/>
    <w:rsid w:val="008A6A56"/>
    <w:rsid w:val="008A6D1F"/>
    <w:rsid w:val="008B4827"/>
    <w:rsid w:val="008B78CB"/>
    <w:rsid w:val="008C1182"/>
    <w:rsid w:val="008C15E3"/>
    <w:rsid w:val="008C1CB6"/>
    <w:rsid w:val="008C4C7B"/>
    <w:rsid w:val="008D05E4"/>
    <w:rsid w:val="008D09D0"/>
    <w:rsid w:val="008D41F5"/>
    <w:rsid w:val="008D4560"/>
    <w:rsid w:val="008D541D"/>
    <w:rsid w:val="008D6947"/>
    <w:rsid w:val="008E61F6"/>
    <w:rsid w:val="008F3D4D"/>
    <w:rsid w:val="008F525C"/>
    <w:rsid w:val="008F5723"/>
    <w:rsid w:val="008F5E0E"/>
    <w:rsid w:val="008F5F24"/>
    <w:rsid w:val="008F690E"/>
    <w:rsid w:val="008F727E"/>
    <w:rsid w:val="00901B7E"/>
    <w:rsid w:val="0090581B"/>
    <w:rsid w:val="009144B0"/>
    <w:rsid w:val="00914B6C"/>
    <w:rsid w:val="00916051"/>
    <w:rsid w:val="00921676"/>
    <w:rsid w:val="009217F2"/>
    <w:rsid w:val="0093043E"/>
    <w:rsid w:val="00936778"/>
    <w:rsid w:val="00941384"/>
    <w:rsid w:val="009421BD"/>
    <w:rsid w:val="0094247B"/>
    <w:rsid w:val="009430BA"/>
    <w:rsid w:val="00944ADA"/>
    <w:rsid w:val="0094587C"/>
    <w:rsid w:val="00946DA0"/>
    <w:rsid w:val="009478A4"/>
    <w:rsid w:val="0095009F"/>
    <w:rsid w:val="00950535"/>
    <w:rsid w:val="00951C44"/>
    <w:rsid w:val="009528A0"/>
    <w:rsid w:val="00952D41"/>
    <w:rsid w:val="009532A0"/>
    <w:rsid w:val="00954CBC"/>
    <w:rsid w:val="00955FB9"/>
    <w:rsid w:val="00957817"/>
    <w:rsid w:val="00957999"/>
    <w:rsid w:val="00957C06"/>
    <w:rsid w:val="009602A9"/>
    <w:rsid w:val="009610BC"/>
    <w:rsid w:val="009624C1"/>
    <w:rsid w:val="00963996"/>
    <w:rsid w:val="009655DF"/>
    <w:rsid w:val="00966FF8"/>
    <w:rsid w:val="009709E4"/>
    <w:rsid w:val="0097386B"/>
    <w:rsid w:val="009746CE"/>
    <w:rsid w:val="009756EF"/>
    <w:rsid w:val="00977CAC"/>
    <w:rsid w:val="0098070E"/>
    <w:rsid w:val="009821F4"/>
    <w:rsid w:val="00982FD6"/>
    <w:rsid w:val="0098477D"/>
    <w:rsid w:val="0098496F"/>
    <w:rsid w:val="00985D89"/>
    <w:rsid w:val="00986C14"/>
    <w:rsid w:val="00987025"/>
    <w:rsid w:val="0099024B"/>
    <w:rsid w:val="00991572"/>
    <w:rsid w:val="00992DFA"/>
    <w:rsid w:val="00992EFA"/>
    <w:rsid w:val="00994208"/>
    <w:rsid w:val="009952B0"/>
    <w:rsid w:val="009A0135"/>
    <w:rsid w:val="009A0BFE"/>
    <w:rsid w:val="009A0FC8"/>
    <w:rsid w:val="009A17F1"/>
    <w:rsid w:val="009A60FF"/>
    <w:rsid w:val="009A628A"/>
    <w:rsid w:val="009A68ED"/>
    <w:rsid w:val="009B0590"/>
    <w:rsid w:val="009B2E1B"/>
    <w:rsid w:val="009B3A81"/>
    <w:rsid w:val="009C0AB2"/>
    <w:rsid w:val="009C3A84"/>
    <w:rsid w:val="009C3D4F"/>
    <w:rsid w:val="009C4F36"/>
    <w:rsid w:val="009C552B"/>
    <w:rsid w:val="009D1D23"/>
    <w:rsid w:val="009D5240"/>
    <w:rsid w:val="009D544E"/>
    <w:rsid w:val="009D6473"/>
    <w:rsid w:val="009D6C31"/>
    <w:rsid w:val="009D6D34"/>
    <w:rsid w:val="009D72C3"/>
    <w:rsid w:val="009E07FB"/>
    <w:rsid w:val="009E11B1"/>
    <w:rsid w:val="009E6E89"/>
    <w:rsid w:val="009E754A"/>
    <w:rsid w:val="009E7C4B"/>
    <w:rsid w:val="009F03D1"/>
    <w:rsid w:val="009F0E3B"/>
    <w:rsid w:val="009F207A"/>
    <w:rsid w:val="009F2121"/>
    <w:rsid w:val="009F4B48"/>
    <w:rsid w:val="009F52AD"/>
    <w:rsid w:val="00A00A01"/>
    <w:rsid w:val="00A01338"/>
    <w:rsid w:val="00A0644F"/>
    <w:rsid w:val="00A078B7"/>
    <w:rsid w:val="00A07F06"/>
    <w:rsid w:val="00A11AF3"/>
    <w:rsid w:val="00A141B4"/>
    <w:rsid w:val="00A1729D"/>
    <w:rsid w:val="00A21E61"/>
    <w:rsid w:val="00A22E50"/>
    <w:rsid w:val="00A243CC"/>
    <w:rsid w:val="00A24CC3"/>
    <w:rsid w:val="00A25495"/>
    <w:rsid w:val="00A26190"/>
    <w:rsid w:val="00A26367"/>
    <w:rsid w:val="00A2653F"/>
    <w:rsid w:val="00A279C0"/>
    <w:rsid w:val="00A301A1"/>
    <w:rsid w:val="00A301BD"/>
    <w:rsid w:val="00A3112C"/>
    <w:rsid w:val="00A31215"/>
    <w:rsid w:val="00A31BFC"/>
    <w:rsid w:val="00A3436A"/>
    <w:rsid w:val="00A34AE8"/>
    <w:rsid w:val="00A34B36"/>
    <w:rsid w:val="00A3507B"/>
    <w:rsid w:val="00A4041E"/>
    <w:rsid w:val="00A40685"/>
    <w:rsid w:val="00A415D5"/>
    <w:rsid w:val="00A4561A"/>
    <w:rsid w:val="00A45885"/>
    <w:rsid w:val="00A505E6"/>
    <w:rsid w:val="00A5068D"/>
    <w:rsid w:val="00A507F9"/>
    <w:rsid w:val="00A52DF1"/>
    <w:rsid w:val="00A54977"/>
    <w:rsid w:val="00A557F8"/>
    <w:rsid w:val="00A57FA0"/>
    <w:rsid w:val="00A60CC3"/>
    <w:rsid w:val="00A62548"/>
    <w:rsid w:val="00A641EA"/>
    <w:rsid w:val="00A64E42"/>
    <w:rsid w:val="00A66AED"/>
    <w:rsid w:val="00A67A35"/>
    <w:rsid w:val="00A74174"/>
    <w:rsid w:val="00A748ED"/>
    <w:rsid w:val="00A74F57"/>
    <w:rsid w:val="00A76CD4"/>
    <w:rsid w:val="00A8055A"/>
    <w:rsid w:val="00A815BD"/>
    <w:rsid w:val="00A85087"/>
    <w:rsid w:val="00A85657"/>
    <w:rsid w:val="00A85C23"/>
    <w:rsid w:val="00A863FD"/>
    <w:rsid w:val="00A868CC"/>
    <w:rsid w:val="00A87B04"/>
    <w:rsid w:val="00A915D6"/>
    <w:rsid w:val="00A927D6"/>
    <w:rsid w:val="00A93A47"/>
    <w:rsid w:val="00A93D49"/>
    <w:rsid w:val="00A93E91"/>
    <w:rsid w:val="00A945DB"/>
    <w:rsid w:val="00A96D79"/>
    <w:rsid w:val="00A97E2E"/>
    <w:rsid w:val="00AA09E1"/>
    <w:rsid w:val="00AA2397"/>
    <w:rsid w:val="00AA3DEF"/>
    <w:rsid w:val="00AA5334"/>
    <w:rsid w:val="00AB22CD"/>
    <w:rsid w:val="00AB2B09"/>
    <w:rsid w:val="00AB5ED2"/>
    <w:rsid w:val="00AB79A4"/>
    <w:rsid w:val="00AC0959"/>
    <w:rsid w:val="00AC0CAC"/>
    <w:rsid w:val="00AC1C18"/>
    <w:rsid w:val="00AC3952"/>
    <w:rsid w:val="00AC510C"/>
    <w:rsid w:val="00AC5931"/>
    <w:rsid w:val="00AC6E8F"/>
    <w:rsid w:val="00AC6E99"/>
    <w:rsid w:val="00AC78D4"/>
    <w:rsid w:val="00AD2D95"/>
    <w:rsid w:val="00AD2F5A"/>
    <w:rsid w:val="00AD31B5"/>
    <w:rsid w:val="00AD31CE"/>
    <w:rsid w:val="00AD3701"/>
    <w:rsid w:val="00AD381E"/>
    <w:rsid w:val="00AD439C"/>
    <w:rsid w:val="00AD5CBD"/>
    <w:rsid w:val="00AD7B60"/>
    <w:rsid w:val="00AD7C80"/>
    <w:rsid w:val="00AE1342"/>
    <w:rsid w:val="00AE28DF"/>
    <w:rsid w:val="00AE29A1"/>
    <w:rsid w:val="00AE384A"/>
    <w:rsid w:val="00AF0004"/>
    <w:rsid w:val="00AF48C1"/>
    <w:rsid w:val="00AF6953"/>
    <w:rsid w:val="00AF71E6"/>
    <w:rsid w:val="00AF7A98"/>
    <w:rsid w:val="00B005F4"/>
    <w:rsid w:val="00B02153"/>
    <w:rsid w:val="00B0250E"/>
    <w:rsid w:val="00B0415D"/>
    <w:rsid w:val="00B07776"/>
    <w:rsid w:val="00B078FE"/>
    <w:rsid w:val="00B1158B"/>
    <w:rsid w:val="00B12757"/>
    <w:rsid w:val="00B131FF"/>
    <w:rsid w:val="00B1387C"/>
    <w:rsid w:val="00B20215"/>
    <w:rsid w:val="00B2091E"/>
    <w:rsid w:val="00B20EA2"/>
    <w:rsid w:val="00B21F58"/>
    <w:rsid w:val="00B235BF"/>
    <w:rsid w:val="00B2404E"/>
    <w:rsid w:val="00B265E9"/>
    <w:rsid w:val="00B269AF"/>
    <w:rsid w:val="00B26BFF"/>
    <w:rsid w:val="00B3138D"/>
    <w:rsid w:val="00B35921"/>
    <w:rsid w:val="00B37B67"/>
    <w:rsid w:val="00B40321"/>
    <w:rsid w:val="00B416F3"/>
    <w:rsid w:val="00B41DE0"/>
    <w:rsid w:val="00B42817"/>
    <w:rsid w:val="00B4343F"/>
    <w:rsid w:val="00B4723B"/>
    <w:rsid w:val="00B5504C"/>
    <w:rsid w:val="00B5542F"/>
    <w:rsid w:val="00B558B2"/>
    <w:rsid w:val="00B560CF"/>
    <w:rsid w:val="00B56F5A"/>
    <w:rsid w:val="00B57868"/>
    <w:rsid w:val="00B57ED5"/>
    <w:rsid w:val="00B6129E"/>
    <w:rsid w:val="00B61402"/>
    <w:rsid w:val="00B66656"/>
    <w:rsid w:val="00B67780"/>
    <w:rsid w:val="00B700A9"/>
    <w:rsid w:val="00B71FAD"/>
    <w:rsid w:val="00B72301"/>
    <w:rsid w:val="00B73E0E"/>
    <w:rsid w:val="00B744DC"/>
    <w:rsid w:val="00B75CE6"/>
    <w:rsid w:val="00B761BA"/>
    <w:rsid w:val="00B770A5"/>
    <w:rsid w:val="00B8053B"/>
    <w:rsid w:val="00B8308B"/>
    <w:rsid w:val="00B86266"/>
    <w:rsid w:val="00B86AC0"/>
    <w:rsid w:val="00B87221"/>
    <w:rsid w:val="00B93927"/>
    <w:rsid w:val="00B94D33"/>
    <w:rsid w:val="00B96BDF"/>
    <w:rsid w:val="00B97B5E"/>
    <w:rsid w:val="00BA0DBB"/>
    <w:rsid w:val="00BA1071"/>
    <w:rsid w:val="00BA2699"/>
    <w:rsid w:val="00BA6897"/>
    <w:rsid w:val="00BA6E04"/>
    <w:rsid w:val="00BA7297"/>
    <w:rsid w:val="00BA7906"/>
    <w:rsid w:val="00BB0B8B"/>
    <w:rsid w:val="00BB130E"/>
    <w:rsid w:val="00BB1ADE"/>
    <w:rsid w:val="00BB2038"/>
    <w:rsid w:val="00BB4F70"/>
    <w:rsid w:val="00BB567A"/>
    <w:rsid w:val="00BB7B8D"/>
    <w:rsid w:val="00BC18AE"/>
    <w:rsid w:val="00BC274B"/>
    <w:rsid w:val="00BC5D30"/>
    <w:rsid w:val="00BC5E50"/>
    <w:rsid w:val="00BC681A"/>
    <w:rsid w:val="00BC6D6B"/>
    <w:rsid w:val="00BC7BF7"/>
    <w:rsid w:val="00BD0D98"/>
    <w:rsid w:val="00BD3F05"/>
    <w:rsid w:val="00BD4AFC"/>
    <w:rsid w:val="00BD5DB1"/>
    <w:rsid w:val="00BD60AE"/>
    <w:rsid w:val="00BD73F9"/>
    <w:rsid w:val="00BE12F7"/>
    <w:rsid w:val="00BE1D5D"/>
    <w:rsid w:val="00BE22E5"/>
    <w:rsid w:val="00BE2F5B"/>
    <w:rsid w:val="00BE4AD2"/>
    <w:rsid w:val="00BE6505"/>
    <w:rsid w:val="00BE6F25"/>
    <w:rsid w:val="00BF1EF5"/>
    <w:rsid w:val="00BF2A70"/>
    <w:rsid w:val="00BF3FA0"/>
    <w:rsid w:val="00BF55CC"/>
    <w:rsid w:val="00BF6FB8"/>
    <w:rsid w:val="00C0143B"/>
    <w:rsid w:val="00C02F69"/>
    <w:rsid w:val="00C03A18"/>
    <w:rsid w:val="00C03A32"/>
    <w:rsid w:val="00C04C15"/>
    <w:rsid w:val="00C04DAE"/>
    <w:rsid w:val="00C07E6E"/>
    <w:rsid w:val="00C10626"/>
    <w:rsid w:val="00C15A8E"/>
    <w:rsid w:val="00C217DF"/>
    <w:rsid w:val="00C2263C"/>
    <w:rsid w:val="00C25ED0"/>
    <w:rsid w:val="00C275D9"/>
    <w:rsid w:val="00C31A0E"/>
    <w:rsid w:val="00C32394"/>
    <w:rsid w:val="00C332E7"/>
    <w:rsid w:val="00C34A47"/>
    <w:rsid w:val="00C36790"/>
    <w:rsid w:val="00C40D0C"/>
    <w:rsid w:val="00C4101D"/>
    <w:rsid w:val="00C425ED"/>
    <w:rsid w:val="00C454E1"/>
    <w:rsid w:val="00C4552D"/>
    <w:rsid w:val="00C45A7D"/>
    <w:rsid w:val="00C45B2B"/>
    <w:rsid w:val="00C46B00"/>
    <w:rsid w:val="00C47728"/>
    <w:rsid w:val="00C47F27"/>
    <w:rsid w:val="00C507BA"/>
    <w:rsid w:val="00C50BA0"/>
    <w:rsid w:val="00C52D9A"/>
    <w:rsid w:val="00C5348F"/>
    <w:rsid w:val="00C60468"/>
    <w:rsid w:val="00C6098D"/>
    <w:rsid w:val="00C61463"/>
    <w:rsid w:val="00C62A65"/>
    <w:rsid w:val="00C64F1C"/>
    <w:rsid w:val="00C67056"/>
    <w:rsid w:val="00C70E16"/>
    <w:rsid w:val="00C71307"/>
    <w:rsid w:val="00C71554"/>
    <w:rsid w:val="00C74441"/>
    <w:rsid w:val="00C74868"/>
    <w:rsid w:val="00C75247"/>
    <w:rsid w:val="00C759E7"/>
    <w:rsid w:val="00C76E43"/>
    <w:rsid w:val="00C77AC0"/>
    <w:rsid w:val="00C80BC0"/>
    <w:rsid w:val="00C82953"/>
    <w:rsid w:val="00C83482"/>
    <w:rsid w:val="00C85BC4"/>
    <w:rsid w:val="00C87714"/>
    <w:rsid w:val="00C87EA2"/>
    <w:rsid w:val="00C90895"/>
    <w:rsid w:val="00C90C43"/>
    <w:rsid w:val="00C95237"/>
    <w:rsid w:val="00C969C6"/>
    <w:rsid w:val="00C96C5E"/>
    <w:rsid w:val="00C97470"/>
    <w:rsid w:val="00CA04CA"/>
    <w:rsid w:val="00CA0F95"/>
    <w:rsid w:val="00CA1FF6"/>
    <w:rsid w:val="00CA51C6"/>
    <w:rsid w:val="00CA53EF"/>
    <w:rsid w:val="00CA7B78"/>
    <w:rsid w:val="00CB164C"/>
    <w:rsid w:val="00CB6744"/>
    <w:rsid w:val="00CB7A98"/>
    <w:rsid w:val="00CC0990"/>
    <w:rsid w:val="00CC433F"/>
    <w:rsid w:val="00CC5068"/>
    <w:rsid w:val="00CC630B"/>
    <w:rsid w:val="00CD0B11"/>
    <w:rsid w:val="00CD1943"/>
    <w:rsid w:val="00CD2456"/>
    <w:rsid w:val="00CD49F7"/>
    <w:rsid w:val="00CD73E0"/>
    <w:rsid w:val="00CE0D08"/>
    <w:rsid w:val="00CE0D2F"/>
    <w:rsid w:val="00CE2C00"/>
    <w:rsid w:val="00CE3EFF"/>
    <w:rsid w:val="00CE52E5"/>
    <w:rsid w:val="00CE6065"/>
    <w:rsid w:val="00CE608B"/>
    <w:rsid w:val="00CE6506"/>
    <w:rsid w:val="00CF0415"/>
    <w:rsid w:val="00CF09E0"/>
    <w:rsid w:val="00CF353D"/>
    <w:rsid w:val="00CF5511"/>
    <w:rsid w:val="00D03B1D"/>
    <w:rsid w:val="00D03FDD"/>
    <w:rsid w:val="00D041A4"/>
    <w:rsid w:val="00D04A61"/>
    <w:rsid w:val="00D0769E"/>
    <w:rsid w:val="00D156FD"/>
    <w:rsid w:val="00D163E6"/>
    <w:rsid w:val="00D20F70"/>
    <w:rsid w:val="00D2335F"/>
    <w:rsid w:val="00D24E8F"/>
    <w:rsid w:val="00D30CD0"/>
    <w:rsid w:val="00D314C9"/>
    <w:rsid w:val="00D31961"/>
    <w:rsid w:val="00D3578E"/>
    <w:rsid w:val="00D36139"/>
    <w:rsid w:val="00D3755F"/>
    <w:rsid w:val="00D42D86"/>
    <w:rsid w:val="00D43934"/>
    <w:rsid w:val="00D43F40"/>
    <w:rsid w:val="00D45306"/>
    <w:rsid w:val="00D47762"/>
    <w:rsid w:val="00D47E87"/>
    <w:rsid w:val="00D50870"/>
    <w:rsid w:val="00D53228"/>
    <w:rsid w:val="00D55EB9"/>
    <w:rsid w:val="00D57B94"/>
    <w:rsid w:val="00D61485"/>
    <w:rsid w:val="00D634F2"/>
    <w:rsid w:val="00D63C47"/>
    <w:rsid w:val="00D66D2B"/>
    <w:rsid w:val="00D72C3F"/>
    <w:rsid w:val="00D7321D"/>
    <w:rsid w:val="00D73DED"/>
    <w:rsid w:val="00D746DF"/>
    <w:rsid w:val="00D75779"/>
    <w:rsid w:val="00D82709"/>
    <w:rsid w:val="00D838DD"/>
    <w:rsid w:val="00D84546"/>
    <w:rsid w:val="00D85640"/>
    <w:rsid w:val="00D85813"/>
    <w:rsid w:val="00D85A69"/>
    <w:rsid w:val="00D8725A"/>
    <w:rsid w:val="00D874F4"/>
    <w:rsid w:val="00D92137"/>
    <w:rsid w:val="00D92197"/>
    <w:rsid w:val="00D9492F"/>
    <w:rsid w:val="00D95A46"/>
    <w:rsid w:val="00D966D4"/>
    <w:rsid w:val="00DA0A8E"/>
    <w:rsid w:val="00DA21BB"/>
    <w:rsid w:val="00DB043F"/>
    <w:rsid w:val="00DB153F"/>
    <w:rsid w:val="00DB40CA"/>
    <w:rsid w:val="00DC1420"/>
    <w:rsid w:val="00DC15B1"/>
    <w:rsid w:val="00DC624D"/>
    <w:rsid w:val="00DD07C1"/>
    <w:rsid w:val="00DD0D0A"/>
    <w:rsid w:val="00DD3224"/>
    <w:rsid w:val="00DD394F"/>
    <w:rsid w:val="00DD699F"/>
    <w:rsid w:val="00DD751A"/>
    <w:rsid w:val="00DE3F56"/>
    <w:rsid w:val="00DE4FB3"/>
    <w:rsid w:val="00DE5836"/>
    <w:rsid w:val="00DE73D9"/>
    <w:rsid w:val="00DE75FA"/>
    <w:rsid w:val="00DF05C6"/>
    <w:rsid w:val="00DF0DD0"/>
    <w:rsid w:val="00DF30C7"/>
    <w:rsid w:val="00DF4AF2"/>
    <w:rsid w:val="00DF5076"/>
    <w:rsid w:val="00DF5E0E"/>
    <w:rsid w:val="00DF64A3"/>
    <w:rsid w:val="00DF739C"/>
    <w:rsid w:val="00DF7A88"/>
    <w:rsid w:val="00E0014F"/>
    <w:rsid w:val="00E0469A"/>
    <w:rsid w:val="00E102B9"/>
    <w:rsid w:val="00E11910"/>
    <w:rsid w:val="00E1259A"/>
    <w:rsid w:val="00E138CA"/>
    <w:rsid w:val="00E156A3"/>
    <w:rsid w:val="00E21922"/>
    <w:rsid w:val="00E2432E"/>
    <w:rsid w:val="00E30C27"/>
    <w:rsid w:val="00E3124A"/>
    <w:rsid w:val="00E337CE"/>
    <w:rsid w:val="00E35BB8"/>
    <w:rsid w:val="00E36D5C"/>
    <w:rsid w:val="00E411FB"/>
    <w:rsid w:val="00E45C1E"/>
    <w:rsid w:val="00E45D98"/>
    <w:rsid w:val="00E46C81"/>
    <w:rsid w:val="00E50C73"/>
    <w:rsid w:val="00E527DD"/>
    <w:rsid w:val="00E55124"/>
    <w:rsid w:val="00E55F1D"/>
    <w:rsid w:val="00E61BD7"/>
    <w:rsid w:val="00E67433"/>
    <w:rsid w:val="00E70E7E"/>
    <w:rsid w:val="00E75F60"/>
    <w:rsid w:val="00E76186"/>
    <w:rsid w:val="00E77723"/>
    <w:rsid w:val="00E82870"/>
    <w:rsid w:val="00E85E1F"/>
    <w:rsid w:val="00E85F57"/>
    <w:rsid w:val="00E901F6"/>
    <w:rsid w:val="00E90ADA"/>
    <w:rsid w:val="00E930DB"/>
    <w:rsid w:val="00E9357A"/>
    <w:rsid w:val="00E95B81"/>
    <w:rsid w:val="00E96B6F"/>
    <w:rsid w:val="00E9738F"/>
    <w:rsid w:val="00EA07ED"/>
    <w:rsid w:val="00EA1CCD"/>
    <w:rsid w:val="00EA365B"/>
    <w:rsid w:val="00EA62B7"/>
    <w:rsid w:val="00EA7132"/>
    <w:rsid w:val="00EB1E61"/>
    <w:rsid w:val="00EB2B52"/>
    <w:rsid w:val="00EB2F1F"/>
    <w:rsid w:val="00EB4123"/>
    <w:rsid w:val="00EB5DB8"/>
    <w:rsid w:val="00EB5F51"/>
    <w:rsid w:val="00EC4B85"/>
    <w:rsid w:val="00EC62B2"/>
    <w:rsid w:val="00EC6519"/>
    <w:rsid w:val="00EC78EE"/>
    <w:rsid w:val="00ED2B81"/>
    <w:rsid w:val="00ED2EC3"/>
    <w:rsid w:val="00ED3155"/>
    <w:rsid w:val="00ED55DC"/>
    <w:rsid w:val="00ED5C24"/>
    <w:rsid w:val="00EE078D"/>
    <w:rsid w:val="00EE1057"/>
    <w:rsid w:val="00EE5190"/>
    <w:rsid w:val="00EE6676"/>
    <w:rsid w:val="00EF0295"/>
    <w:rsid w:val="00EF0A0E"/>
    <w:rsid w:val="00EF26AF"/>
    <w:rsid w:val="00F0695E"/>
    <w:rsid w:val="00F1263B"/>
    <w:rsid w:val="00F1347D"/>
    <w:rsid w:val="00F15688"/>
    <w:rsid w:val="00F16A6D"/>
    <w:rsid w:val="00F17187"/>
    <w:rsid w:val="00F171CF"/>
    <w:rsid w:val="00F21CF1"/>
    <w:rsid w:val="00F25853"/>
    <w:rsid w:val="00F27F5B"/>
    <w:rsid w:val="00F315F3"/>
    <w:rsid w:val="00F32D86"/>
    <w:rsid w:val="00F33D72"/>
    <w:rsid w:val="00F34B50"/>
    <w:rsid w:val="00F36CE9"/>
    <w:rsid w:val="00F378F5"/>
    <w:rsid w:val="00F41BEF"/>
    <w:rsid w:val="00F4216F"/>
    <w:rsid w:val="00F42F0F"/>
    <w:rsid w:val="00F4359A"/>
    <w:rsid w:val="00F45838"/>
    <w:rsid w:val="00F465FA"/>
    <w:rsid w:val="00F50400"/>
    <w:rsid w:val="00F50B35"/>
    <w:rsid w:val="00F52526"/>
    <w:rsid w:val="00F5535B"/>
    <w:rsid w:val="00F556AB"/>
    <w:rsid w:val="00F57513"/>
    <w:rsid w:val="00F603C1"/>
    <w:rsid w:val="00F630BF"/>
    <w:rsid w:val="00F641FC"/>
    <w:rsid w:val="00F65764"/>
    <w:rsid w:val="00F658CB"/>
    <w:rsid w:val="00F72F08"/>
    <w:rsid w:val="00F736E8"/>
    <w:rsid w:val="00F738E3"/>
    <w:rsid w:val="00F73E78"/>
    <w:rsid w:val="00F73F27"/>
    <w:rsid w:val="00F77151"/>
    <w:rsid w:val="00F814E2"/>
    <w:rsid w:val="00F85112"/>
    <w:rsid w:val="00F85A17"/>
    <w:rsid w:val="00F868D1"/>
    <w:rsid w:val="00F90C4A"/>
    <w:rsid w:val="00F91DAC"/>
    <w:rsid w:val="00F91E3F"/>
    <w:rsid w:val="00F91F60"/>
    <w:rsid w:val="00F93C3D"/>
    <w:rsid w:val="00FA1705"/>
    <w:rsid w:val="00FA35DB"/>
    <w:rsid w:val="00FA3716"/>
    <w:rsid w:val="00FA414A"/>
    <w:rsid w:val="00FA6211"/>
    <w:rsid w:val="00FB0FA0"/>
    <w:rsid w:val="00FB2533"/>
    <w:rsid w:val="00FB2E79"/>
    <w:rsid w:val="00FB2EFE"/>
    <w:rsid w:val="00FB58B1"/>
    <w:rsid w:val="00FB61AD"/>
    <w:rsid w:val="00FB6B43"/>
    <w:rsid w:val="00FC731F"/>
    <w:rsid w:val="00FD36BE"/>
    <w:rsid w:val="00FD3C5A"/>
    <w:rsid w:val="00FD4C9F"/>
    <w:rsid w:val="00FE11DA"/>
    <w:rsid w:val="00FE3400"/>
    <w:rsid w:val="00FE58C6"/>
    <w:rsid w:val="00FE7168"/>
    <w:rsid w:val="00FE7F74"/>
    <w:rsid w:val="00FF206C"/>
    <w:rsid w:val="00FF341E"/>
    <w:rsid w:val="00FF371A"/>
    <w:rsid w:val="00FF390C"/>
    <w:rsid w:val="00FF42A7"/>
    <w:rsid w:val="00FF4C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4340"/>
  <w15:chartTrackingRefBased/>
  <w15:docId w15:val="{8EF1B5FE-8A34-41B4-9672-08E8E0F9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EAC"/>
    <w:pPr>
      <w:spacing w:after="0" w:line="240" w:lineRule="auto"/>
    </w:pPr>
    <w:rPr>
      <w:rFonts w:ascii="Cambria" w:eastAsia="MS Mincho" w:hAnsi="Cambria"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156EAC"/>
    <w:rPr>
      <w:color w:val="0000FF"/>
      <w:u w:val="single"/>
    </w:rPr>
  </w:style>
  <w:style w:type="paragraph" w:customStyle="1" w:styleId="CM4">
    <w:name w:val="CM4"/>
    <w:basedOn w:val="Normal"/>
    <w:next w:val="Normal"/>
    <w:uiPriority w:val="99"/>
    <w:rsid w:val="00156EAC"/>
    <w:pPr>
      <w:widowControl w:val="0"/>
      <w:autoSpaceDE w:val="0"/>
      <w:autoSpaceDN w:val="0"/>
      <w:adjustRightInd w:val="0"/>
    </w:pPr>
    <w:rPr>
      <w:rFonts w:ascii="EUAlbertina" w:hAnsi="EUAlberti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FR/TXT/?uri=celex%3A31997L0060" TargetMode="External"/><Relationship Id="rId13" Type="http://schemas.openxmlformats.org/officeDocument/2006/relationships/hyperlink" Target="https://fr.wikipedia.org/wiki/%C3%89thanol" TargetMode="External"/><Relationship Id="rId18" Type="http://schemas.openxmlformats.org/officeDocument/2006/relationships/hyperlink" Target="https://fr.wikipedia.org/wiki/Ac%C3%A9tate_de_m%C3%A9thyle" TargetMode="External"/><Relationship Id="rId26" Type="http://schemas.openxmlformats.org/officeDocument/2006/relationships/hyperlink" Target="https://fr.wikipedia.org/wiki/Butan-1-ol" TargetMode="External"/><Relationship Id="rId3" Type="http://schemas.openxmlformats.org/officeDocument/2006/relationships/settings" Target="settings.xml"/><Relationship Id="rId21" Type="http://schemas.openxmlformats.org/officeDocument/2006/relationships/hyperlink" Target="https://fr.wikipedia.org/wiki/M%C3%A9thanol" TargetMode="External"/><Relationship Id="rId34" Type="http://schemas.openxmlformats.org/officeDocument/2006/relationships/hyperlink" Target="http://eur-lex.europa.eu/legal-content/FR/TXT/?uri=uriserv:OJ.L_.2016.284.01.0019.01.FRA&amp;toc=OJ:L:2016:284:FULL" TargetMode="External"/><Relationship Id="rId7" Type="http://schemas.openxmlformats.org/officeDocument/2006/relationships/hyperlink" Target="http://eur-lex.europa.eu/legal-content/FR/TXT/?uri=CELEX:31994L0052" TargetMode="External"/><Relationship Id="rId12" Type="http://schemas.openxmlformats.org/officeDocument/2006/relationships/hyperlink" Target="https://fr.wikipedia.org/wiki/Ac%C3%A9tate_d%27%C3%A9thyle" TargetMode="External"/><Relationship Id="rId17" Type="http://schemas.openxmlformats.org/officeDocument/2006/relationships/hyperlink" Target="https://fr.wikipedia.org/wiki/N-Hexane" TargetMode="External"/><Relationship Id="rId25" Type="http://schemas.openxmlformats.org/officeDocument/2006/relationships/hyperlink" Target="https://fr.wikipedia.org/wiki/Cyclohexane" TargetMode="External"/><Relationship Id="rId33" Type="http://schemas.openxmlformats.org/officeDocument/2006/relationships/hyperlink" Target="https://corporateeurope.org/food-and-agriculture/efsa" TargetMode="External"/><Relationship Id="rId2" Type="http://schemas.openxmlformats.org/officeDocument/2006/relationships/styles" Target="styles.xml"/><Relationship Id="rId16" Type="http://schemas.openxmlformats.org/officeDocument/2006/relationships/hyperlink" Target="https://fr.wikipedia.org/wiki/Protoxyde_d%27azote" TargetMode="External"/><Relationship Id="rId20" Type="http://schemas.openxmlformats.org/officeDocument/2006/relationships/hyperlink" Target="https://fr.wikipedia.org/wiki/Dichlorom%C3%A9thane" TargetMode="External"/><Relationship Id="rId29" Type="http://schemas.openxmlformats.org/officeDocument/2006/relationships/hyperlink" Target="http://eur-lex.europa.eu/legal-content/FR/TXT/?uri=CELEX%3A32010L0059" TargetMode="External"/><Relationship Id="rId1" Type="http://schemas.openxmlformats.org/officeDocument/2006/relationships/numbering" Target="numbering.xml"/><Relationship Id="rId6" Type="http://schemas.openxmlformats.org/officeDocument/2006/relationships/hyperlink" Target="http://eur-lex.europa.eu/legal-content/FR/TXT/?uri=CELEX:31992L0115" TargetMode="External"/><Relationship Id="rId11" Type="http://schemas.openxmlformats.org/officeDocument/2006/relationships/hyperlink" Target="https://fr.wikipedia.org/wiki/Butane" TargetMode="External"/><Relationship Id="rId24" Type="http://schemas.openxmlformats.org/officeDocument/2006/relationships/hyperlink" Target="https://fr.wikipedia.org/wiki/%C3%89ther_di%C3%A9thylique" TargetMode="External"/><Relationship Id="rId32" Type="http://schemas.openxmlformats.org/officeDocument/2006/relationships/hyperlink" Target="https://fr.wikipedia.org/wiki/Autorit%C3%A9_europ%C3%A9enne_de_s%C3%A9curit%C3%A9_des_aliments" TargetMode="External"/><Relationship Id="rId5" Type="http://schemas.openxmlformats.org/officeDocument/2006/relationships/hyperlink" Target="http://eur-lex.europa.eu/legal-content/FR/TXT/?uri=CELEX:31988L0344" TargetMode="External"/><Relationship Id="rId15" Type="http://schemas.openxmlformats.org/officeDocument/2006/relationships/hyperlink" Target="https://fr.wikipedia.org/wiki/Ac%C3%A9tone" TargetMode="External"/><Relationship Id="rId23" Type="http://schemas.openxmlformats.org/officeDocument/2006/relationships/hyperlink" Target="https://fr.wikipedia.org/wiki/Isopropanol" TargetMode="External"/><Relationship Id="rId28" Type="http://schemas.openxmlformats.org/officeDocument/2006/relationships/hyperlink" Target="https://fr.wikipedia.org/wiki/1,1,1,2-T%C3%A9trafluoro%C3%A9thane" TargetMode="External"/><Relationship Id="rId36" Type="http://schemas.openxmlformats.org/officeDocument/2006/relationships/theme" Target="theme/theme1.xml"/><Relationship Id="rId10" Type="http://schemas.openxmlformats.org/officeDocument/2006/relationships/hyperlink" Target="https://fr.wikipedia.org/wiki/Propane" TargetMode="External"/><Relationship Id="rId19" Type="http://schemas.openxmlformats.org/officeDocument/2006/relationships/hyperlink" Target="https://fr.wikipedia.org/wiki/Butanone" TargetMode="External"/><Relationship Id="rId31" Type="http://schemas.openxmlformats.org/officeDocument/2006/relationships/hyperlink" Target="https://en.wikipedia.org/wiki/Scientific_Committee_on_Food" TargetMode="External"/><Relationship Id="rId4" Type="http://schemas.openxmlformats.org/officeDocument/2006/relationships/webSettings" Target="webSettings.xml"/><Relationship Id="rId9" Type="http://schemas.openxmlformats.org/officeDocument/2006/relationships/hyperlink" Target="http://eur-lex.europa.eu/legal-content/FR/TXT/?uri=CELEX:32009L0032" TargetMode="External"/><Relationship Id="rId14" Type="http://schemas.openxmlformats.org/officeDocument/2006/relationships/hyperlink" Target="https://fr.wikipedia.org/wiki/Dioxyde_de_carbone" TargetMode="External"/><Relationship Id="rId22" Type="http://schemas.openxmlformats.org/officeDocument/2006/relationships/hyperlink" Target="https://fr.wikipedia.org/wiki/Propan-1-ol" TargetMode="External"/><Relationship Id="rId27" Type="http://schemas.openxmlformats.org/officeDocument/2006/relationships/hyperlink" Target="https://fr.wikipedia.org/wiki/Butan-2-ol" TargetMode="External"/><Relationship Id="rId30" Type="http://schemas.openxmlformats.org/officeDocument/2006/relationships/hyperlink" Target="https://fr.wikipedia.org/wiki/M%C3%A9thoxym%C3%A9thane" TargetMode="External"/><Relationship Id="rId35"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3142</Words>
  <Characters>17281</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ASSELINEAU</dc:creator>
  <cp:keywords/>
  <dc:description/>
  <cp:lastModifiedBy>François ASSELINEAU</cp:lastModifiedBy>
  <cp:revision>3</cp:revision>
  <dcterms:created xsi:type="dcterms:W3CDTF">2017-07-10T21:52:00Z</dcterms:created>
  <dcterms:modified xsi:type="dcterms:W3CDTF">2017-07-11T12:32:00Z</dcterms:modified>
</cp:coreProperties>
</file>